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false"/>
        <w:spacing w:lineRule="auto" w:line="276"/>
        <w:ind w:hanging="28" w:left="737"/>
        <w:jc w:val="right"/>
        <w:rPr>
          <w:rFonts w:ascii="Calibri" w:hAnsi="Calibri" w:eastAsia="Times New Roman" w:cs="Calibri" w:asciiTheme="minorHAnsi" w:cstheme="minorHAnsi" w:hAnsiTheme="minorHAnsi"/>
          <w:kern w:val="0"/>
          <w:sz w:val="20"/>
          <w:szCs w:val="20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kern w:val="0"/>
          <w:sz w:val="20"/>
          <w:szCs w:val="20"/>
          <w:lang w:eastAsia="pl-PL"/>
        </w:rPr>
        <w:t>ZAŁĄCZNIK NR 4 DO ZAPYTANIA OFERTOWEGO</w:t>
      </w:r>
    </w:p>
    <w:p>
      <w:pPr>
        <w:pStyle w:val="Normal"/>
        <w:widowControl/>
        <w:suppressAutoHyphens w:val="false"/>
        <w:spacing w:lineRule="auto" w:line="276"/>
        <w:jc w:val="both"/>
        <w:rPr>
          <w:rFonts w:ascii="Calibri" w:hAnsi="Calibri" w:eastAsia="Times New Roman" w:cs="Calibri" w:asciiTheme="minorHAnsi" w:cstheme="minorHAnsi" w:hAnsiTheme="minorHAnsi"/>
          <w:b/>
          <w:kern w:val="0"/>
          <w:sz w:val="22"/>
          <w:szCs w:val="22"/>
          <w:u w:val="single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b/>
          <w:kern w:val="0"/>
          <w:sz w:val="22"/>
          <w:szCs w:val="22"/>
          <w:u w:val="single"/>
          <w:lang w:eastAsia="pl-PL"/>
        </w:rPr>
        <w:t xml:space="preserve">WZÓR UMOWY </w:t>
      </w:r>
    </w:p>
    <w:p>
      <w:pPr>
        <w:pStyle w:val="Normal"/>
        <w:spacing w:lineRule="auto" w:line="276" w:before="240" w:after="240"/>
        <w:jc w:val="center"/>
        <w:rPr>
          <w:rFonts w:ascii="Calibri" w:hAnsi="Calibri" w:eastAsia="Times New Roman" w:cs="Calibri" w:asciiTheme="minorHAnsi" w:cstheme="minorHAnsi" w:hAnsiTheme="minorHAnsi"/>
          <w:b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b/>
          <w:sz w:val="22"/>
          <w:szCs w:val="22"/>
          <w:lang w:eastAsia="pl-PL"/>
        </w:rPr>
        <w:t>UMOWA NR …………/2024</w:t>
      </w:r>
    </w:p>
    <w:p>
      <w:pPr>
        <w:pStyle w:val="Normal"/>
        <w:spacing w:lineRule="auto" w:line="276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zawarta w dniu  ………………….……….. 2024r. w Nakle nad Notecią, pomiędzy: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ind w:hanging="0" w:right="49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Powiatem Nakielskim z siedzibą w Nakle nad Notecią przy ul. Dąbrowskiego 54 , NIP 558 17 24 333 – Powiatowym Centrum Pomocy Rodzinie z siedzibą w Nakle nad Notecią przy ul. Dąbrowskiego 46, zwanym dalej „Zamawiającym”, reprezentowanym przez Dyrektora Powiatowego Centrum Pomocy Rodzinie w Nakle nad Notecią – …………………………………………….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ind w:hanging="0" w:right="49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a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; N</w:t>
      </w:r>
      <w:r>
        <w:rPr>
          <w:rFonts w:eastAsia="Times New Roman" w:cs="Calibri" w:ascii="Calibri" w:hAnsi="Calibri" w:asciiTheme="minorHAnsi" w:cstheme="minorHAnsi" w:hAnsiTheme="minorHAnsi"/>
          <w:bCs/>
          <w:sz w:val="22"/>
          <w:szCs w:val="22"/>
        </w:rPr>
        <w:t xml:space="preserve">IP …………………………. REGON …………………………. 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KRS </w:t>
      </w:r>
      <w:r>
        <w:rPr>
          <w:rFonts w:eastAsia="Times New Roman" w:cs="Calibri" w:ascii="Calibri" w:hAnsi="Calibri" w:asciiTheme="minorHAnsi" w:cstheme="minorHAnsi" w:hAnsiTheme="minorHAnsi"/>
          <w:bCs/>
          <w:sz w:val="22"/>
          <w:szCs w:val="22"/>
        </w:rPr>
        <w:t xml:space="preserve">…………………………. zwanym dalej „Wykonawcą”, 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reprezentowanym przez …………………………………………………………………………………………………………….………..,</w:t>
      </w:r>
    </w:p>
    <w:p>
      <w:pPr>
        <w:pStyle w:val="Normal"/>
        <w:spacing w:lineRule="auto" w:line="276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o następującej treści:</w:t>
      </w:r>
    </w:p>
    <w:p>
      <w:pPr>
        <w:pStyle w:val="Normal"/>
        <w:spacing w:lineRule="auto" w:line="276"/>
        <w:jc w:val="center"/>
        <w:rPr>
          <w:rFonts w:ascii="Calibri" w:hAnsi="Calibri" w:eastAsia="Times New Roman" w:cs="Calibri" w:asciiTheme="minorHAnsi" w:cstheme="minorHAnsi" w:hAnsiTheme="minorHAnsi"/>
          <w:b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b/>
          <w:sz w:val="22"/>
          <w:szCs w:val="22"/>
          <w:lang w:eastAsia="pl-PL"/>
        </w:rPr>
        <w:t>§ 1</w:t>
      </w:r>
    </w:p>
    <w:p>
      <w:pPr>
        <w:pStyle w:val="Normal"/>
        <w:spacing w:lineRule="auto" w:line="276"/>
        <w:jc w:val="center"/>
        <w:rPr>
          <w:rFonts w:ascii="Calibri" w:hAnsi="Calibri" w:eastAsia="Times New Roman" w:cs="Calibri" w:asciiTheme="minorHAnsi" w:cstheme="minorHAnsi" w:hAnsiTheme="minorHAnsi"/>
          <w:b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b/>
          <w:sz w:val="22"/>
          <w:szCs w:val="22"/>
          <w:lang w:eastAsia="pl-PL"/>
        </w:rPr>
        <w:t>Przedmiot umowy</w:t>
      </w:r>
    </w:p>
    <w:p>
      <w:pPr>
        <w:pStyle w:val="Normal"/>
        <w:widowControl/>
        <w:numPr>
          <w:ilvl w:val="0"/>
          <w:numId w:val="3"/>
        </w:numPr>
        <w:suppressAutoHyphens w:val="false"/>
        <w:spacing w:lineRule="auto" w:line="276"/>
        <w:ind w:hanging="284" w:left="284"/>
        <w:jc w:val="left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Przedmiotem umowy jest kompleksowe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zorganizowanie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</w:rPr>
        <w:t xml:space="preserve"> i przeprowadzenie 3 jednodniowych  spotkań świadomościowych na rzecz rozwoju </w:t>
      </w:r>
      <w:r>
        <w:rPr>
          <w:rFonts w:cs="Calibri" w:ascii="Calibri" w:hAnsi="Calibri"/>
          <w:b w:val="false"/>
          <w:bCs w:val="false"/>
          <w:sz w:val="22"/>
          <w:szCs w:val="22"/>
        </w:rPr>
        <w:t>rodzinnych form pieczy zastępczej wraz z usługą gastronomiczną oraz przygotowaniem materiałów dydaktycznych</w:t>
      </w:r>
    </w:p>
    <w:p>
      <w:pPr>
        <w:pStyle w:val="Normal"/>
        <w:widowControl/>
        <w:numPr>
          <w:ilvl w:val="0"/>
          <w:numId w:val="0"/>
        </w:numPr>
        <w:suppressAutoHyphens w:val="false"/>
        <w:spacing w:lineRule="auto" w:line="276"/>
        <w:ind w:hanging="0" w:left="284"/>
        <w:jc w:val="left"/>
        <w:rPr>
          <w:b w:val="false"/>
          <w:bCs w:val="false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</w:rPr>
        <w:t xml:space="preserve">w zakresie projektu „Rodzina w Centrum Etap I” realizowanego i współfinansowanego </w:t>
      </w:r>
      <w:r>
        <w:rPr>
          <w:rFonts w:cs="Calibri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ze środków Unii Europejskiej w ramach programu Fundusze Europejskie dla Kujaw i Pomorza na lata 2021-2027, Oś priorytetowa 8 Fundusze europejskie na wsparcie w obszarze rynku pracy, edukacji i włączenia społecznego, Działanie 08.25 Usługi wsparcia rodziny i pieczy zastępczej.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</w:rPr>
        <w:t xml:space="preserve"> </w:t>
      </w:r>
    </w:p>
    <w:p>
      <w:pPr>
        <w:pStyle w:val="Normal"/>
        <w:widowControl/>
        <w:numPr>
          <w:ilvl w:val="0"/>
          <w:numId w:val="3"/>
        </w:numPr>
        <w:suppressAutoHyphens w:val="false"/>
        <w:spacing w:lineRule="auto" w:line="276"/>
        <w:ind w:hanging="284" w:left="284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Przedmiot umowy, o którym mowa w ust. 1, zrealizowany i rozliczony będzie do </w:t>
      </w:r>
      <w:r>
        <w:rPr>
          <w:rFonts w:eastAsia="Times New Roman" w:cs="Calibri" w:ascii="Calibri" w:hAnsi="Calibri" w:asciiTheme="minorHAnsi" w:cstheme="minorHAnsi" w:hAnsiTheme="minorHAnsi"/>
          <w:bCs/>
          <w:sz w:val="22"/>
          <w:szCs w:val="22"/>
          <w:lang w:eastAsia="pl-PL"/>
        </w:rPr>
        <w:t>30 czerwca 2026r., w tym:</w:t>
      </w:r>
    </w:p>
    <w:p>
      <w:pPr>
        <w:pStyle w:val="ListParagraph"/>
        <w:widowControl/>
        <w:numPr>
          <w:ilvl w:val="0"/>
          <w:numId w:val="0"/>
        </w:numPr>
        <w:spacing w:lineRule="auto" w:line="276"/>
        <w:ind w:hanging="0" w:left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1 spotkanie w 2024r. (od dnia podpisania umowy do 20 grudnia 2024r.);</w:t>
      </w:r>
    </w:p>
    <w:p>
      <w:pPr>
        <w:pStyle w:val="ListParagraph"/>
        <w:widowControl/>
        <w:numPr>
          <w:ilvl w:val="0"/>
          <w:numId w:val="0"/>
        </w:numPr>
        <w:spacing w:lineRule="auto" w:line="276"/>
        <w:ind w:hanging="0" w:left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1 spotkanie w 2025r. (od 1 stycznia 2025r. do 30 kwietnia 2025r.)</w:t>
      </w:r>
    </w:p>
    <w:p>
      <w:pPr>
        <w:pStyle w:val="Normal"/>
        <w:widowControl/>
        <w:numPr>
          <w:ilvl w:val="0"/>
          <w:numId w:val="0"/>
        </w:numPr>
        <w:suppressAutoHyphens w:val="false"/>
        <w:spacing w:lineRule="auto" w:line="276"/>
        <w:ind w:hanging="0" w:left="284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pl-PL"/>
        </w:rPr>
        <w:t>1 spotkanie w 2026r. (od 1 stycznia 2026r. do 30 czerwca 2026r.)</w:t>
      </w:r>
    </w:p>
    <w:p>
      <w:pPr>
        <w:pStyle w:val="ListParagraph"/>
        <w:numPr>
          <w:ilvl w:val="0"/>
          <w:numId w:val="3"/>
        </w:numPr>
        <w:spacing w:lineRule="auto" w:line="276"/>
        <w:ind w:hanging="284" w:left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Spotkania zostaną zorganizowane i przeprowadzone zgodnie z harmonogramem określającym datę godziny i miejsce realizacji spotkania, temat, zakres merytoryczny i nazwiska ekspertów/trenerów/wykładowców sporządzonym przez Wykonawcę po zaakceptowaniu przez Zamawiającego. Zamawiający zastrzega sobie prawo wnoszenia uwag i propozycji do ostatecznej wersji harmonogramu po uzgodnieniu ich z Wykonawcą.</w:t>
      </w:r>
    </w:p>
    <w:p>
      <w:pPr>
        <w:pStyle w:val="ListParagraph"/>
        <w:numPr>
          <w:ilvl w:val="0"/>
          <w:numId w:val="3"/>
        </w:numPr>
        <w:spacing w:lineRule="auto" w:line="276"/>
        <w:ind w:hanging="284" w:left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Zmiana harmonogramu może nastąpić tylko z powodu zaistnienia wyjątkowych okoliczności, których Wykonawca nie mógł przewidzieć, za zgodą Zamawiającego i nie później niż na 7 dni przed terminem spotkania. O konieczności zmiany harmonogramu Wykonawca poinformuje Zamawiającego na piśmie wraz ze zaktualizowanym harmonogramem zgodnym z szczegółowym opisem przedmiotu zamówienia stanowiącym załącznik nr 1 do umowy. Zmiana nie wymaga sporządzenia aneksu do umowy.</w:t>
      </w:r>
    </w:p>
    <w:p>
      <w:pPr>
        <w:pStyle w:val="Normal"/>
        <w:widowControl/>
        <w:numPr>
          <w:ilvl w:val="0"/>
          <w:numId w:val="3"/>
        </w:numPr>
        <w:suppressAutoHyphens w:val="false"/>
        <w:spacing w:lineRule="auto" w:line="276"/>
        <w:ind w:hanging="284" w:left="284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Zamawiający dopuszcza możliwość zmiany personelu/kadry merytorycznej, w przypadku zaistnienia wyjątkowych okoliczności, których wystąpienia Wykonawca nie mógł przewidzieć w dniu podpisania umowy, za zgodą wyrażoną przez Zamawiającego na piśmie. O konieczności zmiany personelu/kadry merytorycznej Wykonawca poinformuje Zamawiającego na piśmie wraz z dokumentami potwierdzającymi wymagane kwalifikacje i doświadczenie zaproponowanej osoby, określone w szczegółowym opisie przedmiotu zamówienia stanowiącym załącznik nr 1 do umowy. Zmiana nie wymaga sporządzenia aneksu do umowy.</w:t>
      </w:r>
    </w:p>
    <w:p>
      <w:pPr>
        <w:pStyle w:val="Normal"/>
        <w:widowControl/>
        <w:numPr>
          <w:ilvl w:val="0"/>
          <w:numId w:val="3"/>
        </w:numPr>
        <w:suppressAutoHyphens w:val="false"/>
        <w:spacing w:lineRule="auto" w:line="276"/>
        <w:ind w:hanging="284" w:left="284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Wykonawca zobowiązuje się do wykonania przedmiotu umowy na najwyższym profesjonalnym poziomie, zgodnie z wszystkimi obowiązującymi przepisami prawa i interesami Zamawiającego oraz dołoży wszelkich starań 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w celu prawidłowej realizacji zawartej umowy.</w:t>
      </w:r>
    </w:p>
    <w:p>
      <w:pPr>
        <w:pStyle w:val="Normal"/>
        <w:widowControl/>
        <w:numPr>
          <w:ilvl w:val="0"/>
          <w:numId w:val="3"/>
        </w:numPr>
        <w:suppressAutoHyphens w:val="false"/>
        <w:spacing w:lineRule="auto" w:line="276"/>
        <w:ind w:hanging="284" w:left="284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pl-PL"/>
        </w:rPr>
        <w:t>Wykonawca ponosi pełną odpowiedzialność za prawidłową realizację zawartej umowy.</w:t>
      </w:r>
    </w:p>
    <w:p>
      <w:pPr>
        <w:pStyle w:val="Normal"/>
        <w:widowControl/>
        <w:numPr>
          <w:ilvl w:val="0"/>
          <w:numId w:val="3"/>
        </w:numPr>
        <w:suppressAutoHyphens w:val="false"/>
        <w:spacing w:lineRule="auto" w:line="276"/>
        <w:ind w:hanging="284" w:left="284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Wykonawca zobowiązuje się przy realizacji przedmiotu umowy zapoznać się z treścią i stosować zasady wynikające z aktualnie obowiązujących: </w:t>
      </w:r>
      <w:r>
        <w:rPr>
          <w:rFonts w:cs="Calibri" w:ascii="Calibri" w:hAnsi="Calibri" w:asciiTheme="minorHAnsi" w:cstheme="minorHAnsi" w:hAnsiTheme="minorHAnsi"/>
          <w:bCs/>
          <w:i/>
          <w:sz w:val="22"/>
          <w:szCs w:val="22"/>
        </w:rPr>
        <w:t>Wytycznych w zakresie kwalifikowalności wydatków  na lata 2021 – 2027.</w:t>
      </w:r>
    </w:p>
    <w:p>
      <w:pPr>
        <w:pStyle w:val="Normal"/>
        <w:widowControl/>
        <w:numPr>
          <w:ilvl w:val="0"/>
          <w:numId w:val="3"/>
        </w:numPr>
        <w:suppressAutoHyphens w:val="false"/>
        <w:spacing w:lineRule="auto" w:line="276"/>
        <w:ind w:hanging="284" w:left="284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Wykonawca zobowiązany jest do sporządzenia sprawozdania (załącznik nr 6 do umowy) z każdego spotkania i przekazania go Zamawiającemu wraz z załącznikami:</w:t>
      </w:r>
    </w:p>
    <w:p>
      <w:pPr>
        <w:pStyle w:val="ListParagraph"/>
        <w:widowControl/>
        <w:numPr>
          <w:ilvl w:val="0"/>
          <w:numId w:val="22"/>
        </w:numPr>
        <w:suppressAutoHyphens w:val="false"/>
        <w:spacing w:lineRule="auto" w:line="276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faktura,</w:t>
      </w:r>
    </w:p>
    <w:p>
      <w:pPr>
        <w:pStyle w:val="ListParagraph"/>
        <w:widowControl/>
        <w:numPr>
          <w:ilvl w:val="0"/>
          <w:numId w:val="22"/>
        </w:numPr>
        <w:suppressAutoHyphens w:val="false"/>
        <w:spacing w:lineRule="auto" w:line="276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 xml:space="preserve">lista obecności uczestników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wraz z potwierdzeniem odbioru cateringu i materiałów dydaktycznych,</w:t>
      </w:r>
    </w:p>
    <w:p>
      <w:pPr>
        <w:pStyle w:val="ListParagraph"/>
        <w:widowControl/>
        <w:numPr>
          <w:ilvl w:val="0"/>
          <w:numId w:val="22"/>
        </w:numPr>
        <w:suppressAutoHyphens w:val="false"/>
        <w:spacing w:lineRule="auto" w:line="276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komplet materiałów dydaktycznych,</w:t>
      </w:r>
    </w:p>
    <w:p>
      <w:pPr>
        <w:pStyle w:val="ListParagraph"/>
        <w:widowControl/>
        <w:numPr>
          <w:ilvl w:val="0"/>
          <w:numId w:val="22"/>
        </w:numPr>
        <w:suppressAutoHyphens w:val="false"/>
        <w:spacing w:lineRule="auto" w:line="276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kserokopie imiennych zaświadczeń dla uczestników spotkania.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spacing w:lineRule="auto" w:line="276"/>
        <w:ind w:hanging="284" w:left="284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Sprawozdanie powinno być podpisane przez Wykonawcę i dostarczone Zamawiającemu najpóźniej 7 dni roboczych po zakończeniu realizacji przedmiotu umowy.</w:t>
      </w:r>
    </w:p>
    <w:p>
      <w:pPr>
        <w:pStyle w:val="Normal"/>
        <w:widowControl/>
        <w:numPr>
          <w:ilvl w:val="0"/>
          <w:numId w:val="3"/>
        </w:numPr>
        <w:suppressAutoHyphens w:val="false"/>
        <w:spacing w:lineRule="auto" w:line="276"/>
        <w:ind w:hanging="284" w:left="284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Wykonawca zobowiązany jest na każde żądanie Zamawiającego do przedstawienia dokumentów potwierdzających wiedzę i doświadczenie kadry przez niego zatrudnionej, we wskazanym przez Zamawiającego terminie.</w:t>
      </w:r>
    </w:p>
    <w:p>
      <w:pPr>
        <w:pStyle w:val="Normal"/>
        <w:widowControl/>
        <w:numPr>
          <w:ilvl w:val="0"/>
          <w:numId w:val="3"/>
        </w:numPr>
        <w:suppressAutoHyphens w:val="false"/>
        <w:spacing w:lineRule="auto" w:line="276"/>
        <w:ind w:hanging="284" w:left="284"/>
        <w:jc w:val="both"/>
        <w:rPr>
          <w:rFonts w:ascii="Calibri" w:hAnsi="Calibri" w:eastAsia="Times New Roman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 xml:space="preserve">Wykonawca zobowiązany jest do realizacji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obowiązku wynikającego z u</w:t>
      </w: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>stawy z dnia 13 maja 2016r. o przeciwdziałaniu zagrożeniom przestępczością na tle seksualnym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(Dz. U. 2018 poz. 405 t. j. ze zm.). Zgodnie z art. 21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„Przed nawiązaniem z osobą stosunku pracy lub przed dopuszczeniem osoby do innej działalności związanej z wychowaniem, edukacją, wypoczynkiem, leczeniem małoletnich lub z opieką nad nimi pracodawcy lub inni organizatorzy w zakresie takiej działalności są obowiązani do uzyskania informacji, czy dane tej osoby są zamieszczone w Rejestrze z dostępem ograniczonym (…)</w:t>
      </w:r>
      <w:r>
        <w:rPr>
          <w:rFonts w:eastAsia="Times New Roman" w:cs="Calibri" w:ascii="Calibri" w:hAnsi="Calibri" w:asciiTheme="minorHAnsi" w:cstheme="minorHAnsi" w:hAnsiTheme="minorHAnsi"/>
          <w:i/>
          <w:iCs/>
          <w:sz w:val="22"/>
          <w:szCs w:val="22"/>
        </w:rPr>
        <w:t>”.</w:t>
      </w:r>
    </w:p>
    <w:p>
      <w:pPr>
        <w:pStyle w:val="Normal"/>
        <w:spacing w:lineRule="auto" w:line="276"/>
        <w:jc w:val="center"/>
        <w:rPr>
          <w:rFonts w:ascii="Calibri" w:hAnsi="Calibri" w:eastAsia="Times New Roman" w:cs="Calibri" w:asciiTheme="minorHAnsi" w:cstheme="minorHAnsi" w:hAnsiTheme="minorHAnsi"/>
          <w:b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b/>
          <w:sz w:val="22"/>
          <w:szCs w:val="22"/>
          <w:lang w:eastAsia="pl-PL"/>
        </w:rPr>
        <w:t>§ 2</w:t>
      </w:r>
    </w:p>
    <w:p>
      <w:pPr>
        <w:pStyle w:val="Normal"/>
        <w:spacing w:lineRule="auto" w:line="276"/>
        <w:jc w:val="center"/>
        <w:rPr>
          <w:rFonts w:ascii="Calibri" w:hAnsi="Calibri" w:eastAsia="Times New Roman" w:cs="Calibri" w:asciiTheme="minorHAnsi" w:cstheme="minorHAnsi" w:hAnsiTheme="minorHAnsi"/>
          <w:b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b/>
          <w:sz w:val="22"/>
          <w:szCs w:val="22"/>
          <w:lang w:eastAsia="pl-PL"/>
        </w:rPr>
        <w:t>Prawa i obowiązki Zamawiającego</w:t>
      </w:r>
    </w:p>
    <w:p>
      <w:pPr>
        <w:pStyle w:val="Normal"/>
        <w:widowControl/>
        <w:numPr>
          <w:ilvl w:val="0"/>
          <w:numId w:val="18"/>
        </w:numPr>
        <w:spacing w:lineRule="auto" w:line="276"/>
        <w:ind w:hanging="284" w:left="284"/>
        <w:jc w:val="both"/>
        <w:rPr>
          <w:rFonts w:ascii="Calibri" w:hAnsi="Calibri" w:eastAsia="Times New Roman" w:cs="Calibri" w:asciiTheme="minorHAnsi" w:cstheme="minorHAnsi" w:hAnsiTheme="minorHAnsi"/>
          <w:b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Zamawiający jest uprawniony w szczególności do:</w:t>
      </w:r>
    </w:p>
    <w:p>
      <w:pPr>
        <w:pStyle w:val="Normal"/>
        <w:widowControl/>
        <w:numPr>
          <w:ilvl w:val="0"/>
          <w:numId w:val="17"/>
        </w:numPr>
        <w:spacing w:lineRule="auto" w:line="276"/>
        <w:ind w:hanging="425" w:left="709"/>
        <w:jc w:val="both"/>
        <w:rPr>
          <w:rFonts w:ascii="Calibri" w:hAnsi="Calibri" w:eastAsia="Times New Roman" w:cs="Calibri" w:asciiTheme="minorHAnsi" w:cstheme="minorHAnsi" w:hAnsiTheme="minorHAnsi"/>
          <w:b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sprawowania nadzoru nad całością prac związanych z realizacją umowy zgodnie z ofertą Wykonawcy;</w:t>
      </w:r>
    </w:p>
    <w:p>
      <w:pPr>
        <w:pStyle w:val="Normal"/>
        <w:widowControl/>
        <w:numPr>
          <w:ilvl w:val="0"/>
          <w:numId w:val="17"/>
        </w:numPr>
        <w:spacing w:lineRule="auto" w:line="276"/>
        <w:ind w:hanging="425" w:left="709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współpracy z Wykonawcą usług podczas monitorowania i nadzorowania prawidłowości wykonania przedmiotu umowy;</w:t>
      </w:r>
    </w:p>
    <w:p>
      <w:pPr>
        <w:pStyle w:val="Normal"/>
        <w:widowControl/>
        <w:numPr>
          <w:ilvl w:val="0"/>
          <w:numId w:val="17"/>
        </w:numPr>
        <w:spacing w:lineRule="auto" w:line="276"/>
        <w:ind w:hanging="425" w:left="709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wyrażenia zgody na wprowadzenie zmian w realizacji przedmiotu umowy, w szczególności zmiany kadry wskazanej w ofercie i harmonogramu spotkań, Wykonawcy realizującemu poszczególne usługi;</w:t>
      </w:r>
    </w:p>
    <w:p>
      <w:pPr>
        <w:pStyle w:val="Normal"/>
        <w:widowControl/>
        <w:numPr>
          <w:ilvl w:val="0"/>
          <w:numId w:val="17"/>
        </w:numPr>
        <w:spacing w:lineRule="auto" w:line="276"/>
        <w:ind w:hanging="425" w:left="709"/>
        <w:jc w:val="both"/>
        <w:rPr>
          <w:rFonts w:ascii="Calibri" w:hAnsi="Calibri" w:eastAsia="Times New Roman" w:cs="Calibri" w:asciiTheme="minorHAnsi" w:cstheme="minorHAnsi" w:hAnsiTheme="minorHAnsi"/>
          <w:b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wglądu i weryfikacji dokumentów potwierdzających wiedzę i doświadczenie kadry świadczącej usługi;</w:t>
      </w:r>
    </w:p>
    <w:p>
      <w:pPr>
        <w:pStyle w:val="Normal"/>
        <w:widowControl/>
        <w:numPr>
          <w:ilvl w:val="0"/>
          <w:numId w:val="17"/>
        </w:numPr>
        <w:spacing w:lineRule="auto" w:line="276"/>
        <w:ind w:hanging="425" w:left="709"/>
        <w:jc w:val="both"/>
        <w:rPr>
          <w:rFonts w:ascii="Calibri" w:hAnsi="Calibri" w:eastAsia="Times New Roman" w:cs="Calibri" w:asciiTheme="minorHAnsi" w:cstheme="minorHAnsi" w:hAnsiTheme="minorHAnsi"/>
          <w:b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odbioru dokumentacji zweryfikowanej przez Wykonawcę usług;</w:t>
      </w:r>
    </w:p>
    <w:p>
      <w:pPr>
        <w:pStyle w:val="Normal"/>
        <w:widowControl/>
        <w:numPr>
          <w:ilvl w:val="0"/>
          <w:numId w:val="17"/>
        </w:numPr>
        <w:spacing w:lineRule="auto" w:line="276"/>
        <w:ind w:hanging="425" w:left="709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podejmowania innych czynności niezbędnych do prawidłowego zrealizowania przedmiotu umowy, o którym mowa w § 1 ust. 1.</w:t>
      </w:r>
    </w:p>
    <w:p>
      <w:pPr>
        <w:pStyle w:val="Normal"/>
        <w:widowControl/>
        <w:numPr>
          <w:ilvl w:val="0"/>
          <w:numId w:val="17"/>
        </w:numPr>
        <w:spacing w:lineRule="auto" w:line="276"/>
        <w:ind w:hanging="425" w:left="709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przeprowadzenia rekrutacji uczestników poszczególnych spotkań;</w:t>
      </w:r>
    </w:p>
    <w:p>
      <w:pPr>
        <w:pStyle w:val="Normal"/>
        <w:widowControl/>
        <w:numPr>
          <w:ilvl w:val="0"/>
          <w:numId w:val="17"/>
        </w:numPr>
        <w:spacing w:lineRule="auto" w:line="276"/>
        <w:ind w:hanging="425" w:left="709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weryfikowania prawidłowości realizacji przedmiotu umowy;</w:t>
      </w:r>
    </w:p>
    <w:p>
      <w:pPr>
        <w:pStyle w:val="Normal"/>
        <w:widowControl/>
        <w:numPr>
          <w:ilvl w:val="0"/>
          <w:numId w:val="17"/>
        </w:numPr>
        <w:spacing w:lineRule="auto" w:line="276"/>
        <w:ind w:hanging="425" w:left="709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 xml:space="preserve">weryfikowania i akceptowania treści materiałów dydaktycznych dla uczestników; </w:t>
      </w:r>
    </w:p>
    <w:p>
      <w:pPr>
        <w:pStyle w:val="Normal"/>
        <w:widowControl/>
        <w:numPr>
          <w:ilvl w:val="0"/>
          <w:numId w:val="17"/>
        </w:numPr>
        <w:spacing w:lineRule="auto" w:line="276"/>
        <w:ind w:hanging="425" w:left="709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odbioru i weryfikowania prawidłowości dokumentacji przygotowanej przez Wykonawcę w trakcie realizacji przedmiotu umowy, w tym sprawozdań, o których mowa w §1 ust 9 i 10 oraz załączniku nr 1 do umowy;</w:t>
      </w:r>
    </w:p>
    <w:p>
      <w:pPr>
        <w:pStyle w:val="Normal"/>
        <w:widowControl/>
        <w:numPr>
          <w:ilvl w:val="0"/>
          <w:numId w:val="17"/>
        </w:numPr>
        <w:spacing w:lineRule="auto" w:line="276"/>
        <w:ind w:hanging="425" w:left="709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podejmowania innych czynności niezbędnych do prawidłowego zrealizowania przedmiotu umowy.</w:t>
      </w:r>
    </w:p>
    <w:p>
      <w:pPr>
        <w:pStyle w:val="Normal"/>
        <w:widowControl/>
        <w:numPr>
          <w:ilvl w:val="0"/>
          <w:numId w:val="18"/>
        </w:numPr>
        <w:spacing w:lineRule="auto" w:line="276"/>
        <w:ind w:hanging="284" w:left="284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W uzasadnionych przypadkach Zamawiający może dokonać zmian w programie świadczonych usług, w porozumieniu z Wykonawcą, nie później niż trzy dni robocze przed terminem danego spotkania.</w:t>
      </w:r>
    </w:p>
    <w:p>
      <w:pPr>
        <w:pStyle w:val="Normal"/>
        <w:spacing w:lineRule="auto" w:line="276"/>
        <w:jc w:val="center"/>
        <w:rPr>
          <w:rFonts w:ascii="Calibri" w:hAnsi="Calibri" w:eastAsia="Times New Roman" w:cs="Calibri" w:asciiTheme="minorHAnsi" w:cstheme="minorHAnsi" w:hAnsiTheme="minorHAnsi"/>
          <w:b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b/>
          <w:sz w:val="22"/>
          <w:szCs w:val="22"/>
          <w:lang w:eastAsia="pl-PL"/>
        </w:rPr>
        <w:t>§ 3</w:t>
      </w:r>
    </w:p>
    <w:p>
      <w:pPr>
        <w:pStyle w:val="Normal"/>
        <w:spacing w:lineRule="auto" w:line="276"/>
        <w:jc w:val="center"/>
        <w:rPr>
          <w:rFonts w:ascii="Calibri" w:hAnsi="Calibri" w:eastAsia="Times New Roman" w:cs="Calibri" w:asciiTheme="minorHAnsi" w:cstheme="minorHAnsi" w:hAnsiTheme="minorHAnsi"/>
          <w:b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b/>
          <w:sz w:val="22"/>
          <w:szCs w:val="22"/>
          <w:lang w:eastAsia="pl-PL"/>
        </w:rPr>
        <w:t>Prawa autorskie</w:t>
      </w:r>
    </w:p>
    <w:p>
      <w:pPr>
        <w:pStyle w:val="Normal"/>
        <w:widowControl/>
        <w:numPr>
          <w:ilvl w:val="3"/>
          <w:numId w:val="19"/>
        </w:numPr>
        <w:spacing w:lineRule="auto" w:line="276"/>
        <w:ind w:hanging="284" w:left="284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W ramach umowy Wykonawca przenosi na Zamawiającego prawo do korzystania i rozporządzania w całości i we fragmentach z materiałów powstałych w trakcie realizacji przedmiotu umowy na następujących polach eksploatacji:</w:t>
      </w:r>
    </w:p>
    <w:p>
      <w:pPr>
        <w:pStyle w:val="Normal"/>
        <w:widowControl/>
        <w:numPr>
          <w:ilvl w:val="2"/>
          <w:numId w:val="5"/>
        </w:numPr>
        <w:spacing w:lineRule="auto" w:line="276"/>
        <w:ind w:hanging="425" w:left="709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utrwalenia utworu dowolną techniką, w tym drukarską, cyfrową, elektroniczną, fotograficzną, optyczną, laserową, na każdym nośniku, włączając w to także nośniki elektroniczne, płyta CD, pendrive, papier;</w:t>
      </w:r>
    </w:p>
    <w:p>
      <w:pPr>
        <w:pStyle w:val="Normal"/>
        <w:widowControl/>
        <w:numPr>
          <w:ilvl w:val="2"/>
          <w:numId w:val="5"/>
        </w:numPr>
        <w:spacing w:lineRule="auto" w:line="276"/>
        <w:ind w:hanging="425" w:left="709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zwielokrotniania utworu, w każdej możliwej  ww. technice</w:t>
      </w:r>
    </w:p>
    <w:p>
      <w:pPr>
        <w:pStyle w:val="Normal"/>
        <w:widowControl/>
        <w:numPr>
          <w:ilvl w:val="2"/>
          <w:numId w:val="5"/>
        </w:numPr>
        <w:spacing w:lineRule="auto" w:line="276"/>
        <w:ind w:hanging="425" w:left="709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wprowadzenia utworu lub poszczególnych elementów do pamięci komputera i sieci wewnętrznych typu Intranet, jak również przesyłania utworu w ramach wyżej wymienionej sieci;</w:t>
      </w:r>
    </w:p>
    <w:p>
      <w:pPr>
        <w:pStyle w:val="Normal"/>
        <w:widowControl/>
        <w:numPr>
          <w:ilvl w:val="2"/>
          <w:numId w:val="5"/>
        </w:numPr>
        <w:spacing w:lineRule="auto" w:line="276"/>
        <w:ind w:hanging="425" w:left="709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udostępniania utworu lub poszczególnych elementów:</w:t>
      </w:r>
    </w:p>
    <w:p>
      <w:pPr>
        <w:pStyle w:val="Normal"/>
        <w:widowControl/>
        <w:numPr>
          <w:ilvl w:val="1"/>
          <w:numId w:val="4"/>
        </w:numPr>
        <w:spacing w:lineRule="auto" w:line="276"/>
        <w:ind w:hanging="425" w:left="1134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uczestnikom konferencji, seminariów, kursów, szkoleń i wizyt studyjnych, których organizatorem/współorganizatorem lub zleceniodawcą będzie Zamawiający,</w:t>
      </w:r>
    </w:p>
    <w:p>
      <w:pPr>
        <w:pStyle w:val="Normal"/>
        <w:widowControl/>
        <w:numPr>
          <w:ilvl w:val="1"/>
          <w:numId w:val="4"/>
        </w:numPr>
        <w:spacing w:lineRule="auto" w:line="276"/>
        <w:ind w:hanging="425" w:left="1134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instytucjom współpracującym z Zamawiającym, w tym jednostkom organizacyjnym pomocy społecznej,</w:t>
      </w:r>
    </w:p>
    <w:p>
      <w:pPr>
        <w:pStyle w:val="Normal"/>
        <w:widowControl/>
        <w:numPr>
          <w:ilvl w:val="1"/>
          <w:numId w:val="4"/>
        </w:numPr>
        <w:spacing w:lineRule="auto" w:line="276"/>
        <w:ind w:hanging="425" w:left="1134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instytucjom nadrzędnym wobec Zamawiającego,</w:t>
      </w:r>
    </w:p>
    <w:p>
      <w:pPr>
        <w:pStyle w:val="Normal"/>
        <w:widowControl/>
        <w:numPr>
          <w:ilvl w:val="1"/>
          <w:numId w:val="4"/>
        </w:numPr>
        <w:spacing w:lineRule="auto" w:line="276"/>
        <w:ind w:hanging="425" w:left="1134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w czasie kontroli na prośbę Instytucji Kontrolującej;</w:t>
      </w:r>
    </w:p>
    <w:p>
      <w:pPr>
        <w:pStyle w:val="Normal"/>
        <w:widowControl/>
        <w:numPr>
          <w:ilvl w:val="2"/>
          <w:numId w:val="5"/>
        </w:numPr>
        <w:spacing w:lineRule="auto" w:line="276"/>
        <w:ind w:hanging="425" w:left="709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przechowywania i archiwizowania materiałów w formie elektronicznej w zasobach Zamawiającego;</w:t>
      </w:r>
    </w:p>
    <w:p>
      <w:pPr>
        <w:pStyle w:val="Normal"/>
        <w:widowControl/>
        <w:numPr>
          <w:ilvl w:val="2"/>
          <w:numId w:val="5"/>
        </w:numPr>
        <w:spacing w:lineRule="auto" w:line="276"/>
        <w:ind w:hanging="425" w:left="709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wykorzystania utworu w publikacjach i materiałach promocyjno-informacyjnych Zamawiającego.</w:t>
      </w:r>
    </w:p>
    <w:p>
      <w:pPr>
        <w:pStyle w:val="Normal"/>
        <w:widowControl/>
        <w:numPr>
          <w:ilvl w:val="3"/>
          <w:numId w:val="19"/>
        </w:numPr>
        <w:spacing w:lineRule="auto" w:line="276"/>
        <w:ind w:hanging="284" w:left="284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Korzystanie z materiałów o których mowa w ust. 1 odbywać się będzie za podaniem źródła ich pochodzenia.</w:t>
      </w:r>
    </w:p>
    <w:p>
      <w:pPr>
        <w:pStyle w:val="Normal"/>
        <w:widowControl/>
        <w:numPr>
          <w:ilvl w:val="3"/>
          <w:numId w:val="19"/>
        </w:numPr>
        <w:spacing w:lineRule="auto" w:line="276"/>
        <w:ind w:hanging="284" w:left="284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Wykonawca oświadcza, że jego prawa autorskie do programów i materiałów dydaktycznych są nieograniczone i nieobciążone prawami osób trzecich.</w:t>
      </w:r>
    </w:p>
    <w:p>
      <w:pPr>
        <w:pStyle w:val="Normal"/>
        <w:widowControl/>
        <w:numPr>
          <w:ilvl w:val="3"/>
          <w:numId w:val="19"/>
        </w:numPr>
        <w:spacing w:lineRule="auto" w:line="276"/>
        <w:ind w:hanging="284" w:left="284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Zamawiający na podstawie odrębnych umów może dokonać przeniesienia autorskich praw majątkowych i praw pokrewnych do materiałów, o których mowa w ust. 1, na Instytucję Zarządzającą Regionalnym Programem Operacyjnych Województwa Kujawsko-Pomorskiego, z jednoczesnym udzieleniem licencji na rzecz pozostałych Partnerów projektu, pn. Rodzina w Centrum 3, na korzystanie z w/w materiałów.</w:t>
      </w:r>
    </w:p>
    <w:p>
      <w:pPr>
        <w:pStyle w:val="Normal"/>
        <w:spacing w:lineRule="auto" w:line="276"/>
        <w:jc w:val="center"/>
        <w:rPr>
          <w:rFonts w:ascii="Calibri" w:hAnsi="Calibri" w:eastAsia="Times New Roman" w:cs="Calibri" w:asciiTheme="minorHAnsi" w:cstheme="minorHAnsi" w:hAnsiTheme="minorHAnsi"/>
          <w:b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b/>
          <w:sz w:val="22"/>
          <w:szCs w:val="22"/>
          <w:lang w:eastAsia="pl-PL"/>
        </w:rPr>
        <w:t>§ 4</w:t>
      </w:r>
    </w:p>
    <w:p>
      <w:pPr>
        <w:pStyle w:val="Normal"/>
        <w:spacing w:lineRule="auto" w:line="276"/>
        <w:jc w:val="center"/>
        <w:rPr>
          <w:rFonts w:ascii="Calibri" w:hAnsi="Calibri" w:eastAsia="Times New Roman" w:cs="Calibri" w:asciiTheme="minorHAnsi" w:cstheme="minorHAnsi" w:hAnsiTheme="minorHAnsi"/>
          <w:b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b/>
          <w:sz w:val="22"/>
          <w:szCs w:val="22"/>
          <w:lang w:eastAsia="pl-PL"/>
        </w:rPr>
        <w:t>Informacja i promocja</w:t>
      </w:r>
    </w:p>
    <w:p>
      <w:pPr>
        <w:pStyle w:val="Normal"/>
        <w:widowControl/>
        <w:numPr>
          <w:ilvl w:val="0"/>
          <w:numId w:val="2"/>
        </w:numPr>
        <w:spacing w:lineRule="auto" w:line="276"/>
        <w:ind w:hanging="283" w:left="284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Wykonawca zobowiązuje się do wypełniania obowiązków informacyjnych i promocyjnych zgodnie z zapisami </w:t>
      </w:r>
      <w:r>
        <w:rPr>
          <w:rFonts w:eastAsia="Times New Roman" w:cs="Calibri" w:ascii="Calibri" w:hAnsi="Calibri" w:asciiTheme="minorHAnsi" w:cstheme="minorHAnsi" w:hAnsiTheme="minorHAnsi"/>
          <w:i/>
          <w:sz w:val="22"/>
          <w:szCs w:val="22"/>
          <w:lang w:eastAsia="pl-PL"/>
        </w:rPr>
        <w:t>rozporządzenia Parlamentu Europejskiego i Rady (UE) nr 1303/2013 z dnia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i/>
          <w:sz w:val="22"/>
          <w:szCs w:val="22"/>
          <w:lang w:eastAsia="pl-PL"/>
        </w:rPr>
        <w:t>17 grudnia 2013r.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Społecznego, Funduszu Spójności, oraz Europejskiego Funduszu Rolnego na rzecz Rozwoju Obszarów Wiejskich oraz Europejskiego Funduszu Morskiego i Rybackiego oraz uchylające rozporządzenie Rady nr 1083/2006 (Dz. U. UE L 347 z dnia 20 grudnia 2013r., s. 320-469 ze zm.)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oraz zgodnie z instrukcjami i wskazówkami zawartymi w </w:t>
      </w:r>
      <w:r>
        <w:rPr>
          <w:rFonts w:eastAsia="Times New Roman" w:cs="Calibri" w:ascii="Calibri" w:hAnsi="Calibri" w:asciiTheme="minorHAnsi" w:cstheme="minorHAnsi" w:hAnsiTheme="minorHAnsi"/>
          <w:i/>
          <w:sz w:val="22"/>
          <w:szCs w:val="22"/>
          <w:lang w:eastAsia="pl-PL"/>
        </w:rPr>
        <w:t>Obowiązkach informacyjnych beneficjenta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pl-PL"/>
        </w:rPr>
        <w:t>, stanowiącymi załącznik nr 3 do umowy, w tym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pl-PL"/>
        </w:rPr>
        <w:t>w szczególności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 xml:space="preserve"> do: </w:t>
      </w:r>
    </w:p>
    <w:p>
      <w:pPr>
        <w:pStyle w:val="Normal"/>
        <w:widowControl/>
        <w:numPr>
          <w:ilvl w:val="0"/>
          <w:numId w:val="11"/>
        </w:numPr>
        <w:tabs>
          <w:tab w:val="clear" w:pos="708"/>
        </w:tabs>
        <w:spacing w:lineRule="auto" w:line="276"/>
        <w:ind w:hanging="425" w:left="851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oznaczania znakiem Unii Europejskiej i znakiem Funduszy Europejskich </w:t>
      </w:r>
    </w:p>
    <w:p>
      <w:pPr>
        <w:pStyle w:val="Normal"/>
        <w:widowControl/>
        <w:numPr>
          <w:ilvl w:val="0"/>
          <w:numId w:val="10"/>
        </w:numPr>
        <w:tabs>
          <w:tab w:val="clear" w:pos="708"/>
        </w:tabs>
        <w:spacing w:lineRule="auto" w:line="276"/>
        <w:ind w:hanging="425" w:left="1134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pl-PL"/>
        </w:rPr>
        <w:t>wszystkich prowadzonych działań informacyjnych i promocyjnych dotyczących realizowanej umowy,</w:t>
      </w:r>
    </w:p>
    <w:p>
      <w:pPr>
        <w:pStyle w:val="Normal"/>
        <w:widowControl/>
        <w:numPr>
          <w:ilvl w:val="0"/>
          <w:numId w:val="10"/>
        </w:numPr>
        <w:spacing w:lineRule="auto" w:line="276"/>
        <w:ind w:hanging="425" w:left="1134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pl-PL"/>
        </w:rPr>
        <w:t>wszystkich dokumentów związanych z realizacją umowy, podawanych do wiadomości publicznej;</w:t>
      </w:r>
    </w:p>
    <w:p>
      <w:pPr>
        <w:pStyle w:val="Normal"/>
        <w:widowControl/>
        <w:numPr>
          <w:ilvl w:val="0"/>
          <w:numId w:val="11"/>
        </w:numPr>
        <w:tabs>
          <w:tab w:val="clear" w:pos="708"/>
        </w:tabs>
        <w:spacing w:lineRule="auto" w:line="276"/>
        <w:ind w:hanging="425" w:left="851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oznaczania wszystkich dokumentów i materiałów powstałych w ramach realizowanej umowy; </w:t>
      </w:r>
    </w:p>
    <w:p>
      <w:pPr>
        <w:pStyle w:val="Normal"/>
        <w:widowControl/>
        <w:numPr>
          <w:ilvl w:val="0"/>
          <w:numId w:val="11"/>
        </w:numPr>
        <w:tabs>
          <w:tab w:val="clear" w:pos="708"/>
        </w:tabs>
        <w:spacing w:lineRule="auto" w:line="276"/>
        <w:ind w:hanging="425" w:left="851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pl-PL"/>
        </w:rPr>
        <w:t>umieszczania przynajmniej jednego plakatu o minimalnym formacie A3, przekazanego przez Zamawiającego, w miejscach realizacji umowy;</w:t>
      </w:r>
    </w:p>
    <w:p>
      <w:pPr>
        <w:pStyle w:val="Normal"/>
        <w:widowControl/>
        <w:numPr>
          <w:ilvl w:val="0"/>
          <w:numId w:val="11"/>
        </w:numPr>
        <w:tabs>
          <w:tab w:val="clear" w:pos="708"/>
        </w:tabs>
        <w:spacing w:lineRule="auto" w:line="276"/>
        <w:ind w:hanging="425" w:left="851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pl-PL"/>
        </w:rPr>
        <w:t>przekazywania osobom, będącym odbiorcom usług świadczonych w ramach umowy informacji, że Projekt, pn. Rodzina w Centrum Etap I, uzyskał dofinansowanie przynajmniej w formie odpowiedniego oznakowania;</w:t>
      </w:r>
    </w:p>
    <w:p>
      <w:pPr>
        <w:pStyle w:val="Normal"/>
        <w:widowControl/>
        <w:numPr>
          <w:ilvl w:val="0"/>
          <w:numId w:val="11"/>
        </w:numPr>
        <w:tabs>
          <w:tab w:val="clear" w:pos="708"/>
        </w:tabs>
        <w:spacing w:lineRule="auto" w:line="276"/>
        <w:ind w:hanging="425" w:left="851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pl-PL"/>
        </w:rPr>
        <w:t>dokumentowania działań informacyjnych i promocyjnych prowadzonych w ramach Projektu.</w:t>
      </w:r>
    </w:p>
    <w:p>
      <w:pPr>
        <w:pStyle w:val="Normal"/>
        <w:widowControl/>
        <w:numPr>
          <w:ilvl w:val="0"/>
          <w:numId w:val="2"/>
        </w:numPr>
        <w:spacing w:lineRule="auto" w:line="276"/>
        <w:ind w:hanging="283" w:left="284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pl-PL"/>
        </w:rPr>
        <w:t>Wariant logotypów (wersja kolor lub monochromatyczna) Wykonawca każdorazowo uzgodni z Zamawiającym.</w:t>
      </w:r>
    </w:p>
    <w:p>
      <w:pPr>
        <w:pStyle w:val="Normal"/>
        <w:widowControl/>
        <w:numPr>
          <w:ilvl w:val="0"/>
          <w:numId w:val="2"/>
        </w:numPr>
        <w:spacing w:lineRule="auto" w:line="276"/>
        <w:ind w:hanging="283" w:left="284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pl-PL"/>
        </w:rPr>
        <w:t>Wykonawca przedstawi Zamawiającemu materiały dla uczestników do akceptacji co najmniej tydzień przed planowanym spotkaniem.</w:t>
      </w:r>
    </w:p>
    <w:p>
      <w:pPr>
        <w:pStyle w:val="Normal"/>
        <w:widowControl/>
        <w:numPr>
          <w:ilvl w:val="0"/>
          <w:numId w:val="2"/>
        </w:numPr>
        <w:spacing w:lineRule="auto" w:line="276"/>
        <w:ind w:hanging="283" w:left="284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pl-PL"/>
        </w:rPr>
        <w:t>Wykonawca zobowiązuje się do przedstawienia na wezwanie Zamawiającego wszelkich informacji i wyjaśnień związanych z realizacją przedmiotu umowy w terminie określonym przez Zamawiającego.</w:t>
      </w:r>
    </w:p>
    <w:p>
      <w:pPr>
        <w:pStyle w:val="Normal"/>
        <w:spacing w:lineRule="auto" w:line="276"/>
        <w:jc w:val="center"/>
        <w:rPr>
          <w:rFonts w:ascii="Calibri" w:hAnsi="Calibri" w:eastAsia="Times New Roman" w:cs="Calibri" w:asciiTheme="minorHAnsi" w:cstheme="minorHAnsi" w:hAnsiTheme="minorHAnsi"/>
          <w:b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b/>
          <w:sz w:val="22"/>
          <w:szCs w:val="22"/>
          <w:lang w:eastAsia="pl-PL"/>
        </w:rPr>
        <w:t>§ 5</w:t>
      </w:r>
    </w:p>
    <w:p>
      <w:pPr>
        <w:pStyle w:val="Normal"/>
        <w:spacing w:lineRule="auto" w:line="276"/>
        <w:jc w:val="center"/>
        <w:rPr>
          <w:rFonts w:ascii="Calibri" w:hAnsi="Calibri" w:eastAsia="Times New Roman" w:cs="Calibri" w:asciiTheme="minorHAnsi" w:cstheme="minorHAnsi" w:hAnsiTheme="minorHAnsi"/>
          <w:b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b/>
          <w:sz w:val="22"/>
          <w:szCs w:val="22"/>
          <w:lang w:eastAsia="pl-PL"/>
        </w:rPr>
        <w:t>Przekazywanie informacji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</w:tabs>
        <w:spacing w:lineRule="auto" w:line="276"/>
        <w:ind w:hanging="284" w:left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 toku realizacji umowy Strony będą dokonywać powiadomień w sprawach istotnych dla przebiegu jej realizacji w następujący sposób:</w:t>
      </w:r>
    </w:p>
    <w:p>
      <w:pPr>
        <w:pStyle w:val="Normal"/>
        <w:widowControl/>
        <w:numPr>
          <w:ilvl w:val="0"/>
          <w:numId w:val="20"/>
        </w:numPr>
        <w:spacing w:lineRule="auto" w:line="276"/>
        <w:ind w:hanging="425" w:left="851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drogą elektroniczną na adres mailowy: </w:t>
      </w:r>
      <w:hyperlink r:id="rId2">
        <w:r>
          <w:rPr>
            <w:rStyle w:val="Hyperlink"/>
            <w:rFonts w:cs="Calibri" w:ascii="Calibri" w:hAnsi="Calibri" w:asciiTheme="minorHAnsi" w:cstheme="minorHAnsi" w:hAnsiTheme="minorHAnsi"/>
            <w:color w:val="auto"/>
            <w:sz w:val="22"/>
            <w:szCs w:val="22"/>
          </w:rPr>
          <w:t>……………….…………</w:t>
        </w:r>
      </w:hyperlink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i/lub w formie pisemnej na adres korespondencyjny Zamawiającego;</w:t>
      </w:r>
    </w:p>
    <w:p>
      <w:pPr>
        <w:pStyle w:val="Normal"/>
        <w:widowControl/>
        <w:numPr>
          <w:ilvl w:val="0"/>
          <w:numId w:val="20"/>
        </w:numPr>
        <w:tabs>
          <w:tab w:val="clear" w:pos="708"/>
          <w:tab w:val="left" w:pos="360" w:leader="none"/>
        </w:tabs>
        <w:spacing w:lineRule="auto" w:line="276"/>
        <w:ind w:hanging="425" w:left="851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drogą elektroniczną na adres mailowy: </w:t>
      </w:r>
      <w:hyperlink r:id="rId3">
        <w:r>
          <w:rPr>
            <w:rStyle w:val="Hyperlink"/>
            <w:rFonts w:cs="Calibri" w:ascii="Calibri" w:hAnsi="Calibri" w:asciiTheme="minorHAnsi" w:cstheme="minorHAnsi" w:hAnsiTheme="minorHAnsi"/>
            <w:color w:val="auto"/>
            <w:sz w:val="22"/>
            <w:szCs w:val="22"/>
          </w:rPr>
          <w:t>……………….…………</w:t>
        </w:r>
      </w:hyperlink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i/lub w formie pisemnej na adres korespondencyjny Wykonawcy. 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</w:tabs>
        <w:spacing w:lineRule="auto" w:line="276"/>
        <w:ind w:hanging="284" w:left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Do współpracy w sprawach związanych z wykonaniem umowy upoważnia się:</w:t>
      </w:r>
    </w:p>
    <w:p>
      <w:pPr>
        <w:pStyle w:val="ListParagraph"/>
        <w:widowControl/>
        <w:numPr>
          <w:ilvl w:val="0"/>
          <w:numId w:val="21"/>
        </w:numPr>
        <w:spacing w:lineRule="auto" w:line="276"/>
        <w:ind w:hanging="425" w:left="851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ze strony Zamawiającego: …………………………………………………………... tel. ……………………………….;</w:t>
      </w:r>
    </w:p>
    <w:p>
      <w:pPr>
        <w:pStyle w:val="ListParagraph"/>
        <w:widowControl/>
        <w:numPr>
          <w:ilvl w:val="0"/>
          <w:numId w:val="21"/>
        </w:numPr>
        <w:spacing w:lineRule="auto" w:line="276"/>
        <w:ind w:hanging="425" w:left="851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ze strony Wykonawcy: ……………………………………………………………….. tel. ……………………………..… .</w:t>
      </w:r>
    </w:p>
    <w:p>
      <w:pPr>
        <w:pStyle w:val="ListParagraph"/>
        <w:numPr>
          <w:ilvl w:val="0"/>
          <w:numId w:val="1"/>
        </w:numPr>
        <w:tabs>
          <w:tab w:val="clear" w:pos="708"/>
        </w:tabs>
        <w:spacing w:lineRule="auto" w:line="276"/>
        <w:ind w:hanging="284" w:left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Zmiana osób wskazanych w ust. 2 nie wymaga zmiany umowy. Strony są zobowiązane do pisemnego poinformowania drugiej strony o zmianie.</w:t>
      </w:r>
    </w:p>
    <w:p>
      <w:pPr>
        <w:pStyle w:val="Normal"/>
        <w:spacing w:lineRule="auto" w:line="276"/>
        <w:jc w:val="center"/>
        <w:rPr>
          <w:rFonts w:ascii="Calibri" w:hAnsi="Calibri" w:eastAsia="Times New Roman" w:cs="Calibri" w:asciiTheme="minorHAnsi" w:cstheme="minorHAnsi" w:hAnsiTheme="minorHAnsi"/>
          <w:b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b/>
          <w:sz w:val="22"/>
          <w:szCs w:val="22"/>
          <w:lang w:eastAsia="pl-PL"/>
        </w:rPr>
        <w:t>§ 6</w:t>
      </w:r>
    </w:p>
    <w:p>
      <w:pPr>
        <w:pStyle w:val="Normal"/>
        <w:spacing w:lineRule="auto" w:line="276"/>
        <w:jc w:val="center"/>
        <w:rPr>
          <w:rFonts w:ascii="Calibri" w:hAnsi="Calibri" w:eastAsia="Times New Roman" w:cs="Calibri" w:asciiTheme="minorHAnsi" w:cstheme="minorHAnsi" w:hAnsiTheme="minorHAnsi"/>
          <w:b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b/>
          <w:sz w:val="22"/>
          <w:szCs w:val="22"/>
          <w:lang w:eastAsia="pl-PL"/>
        </w:rPr>
        <w:t>Płatności</w:t>
      </w:r>
    </w:p>
    <w:p>
      <w:pPr>
        <w:pStyle w:val="Normal"/>
        <w:widowControl/>
        <w:numPr>
          <w:ilvl w:val="0"/>
          <w:numId w:val="13"/>
        </w:numPr>
        <w:tabs>
          <w:tab w:val="clear" w:pos="708"/>
        </w:tabs>
        <w:spacing w:lineRule="auto" w:line="276"/>
        <w:ind w:hanging="284" w:left="284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pl-PL"/>
        </w:rPr>
        <w:t>Płatnikiem wynagrodzenia Wykonawcy, które zostanie sfinansowane ze środków projektu pn. </w:t>
      </w:r>
      <w:r>
        <w:rPr>
          <w:rFonts w:eastAsia="Times New Roman" w:cs="Calibri" w:ascii="Calibri" w:hAnsi="Calibri" w:asciiTheme="minorHAnsi" w:cstheme="minorHAnsi" w:hAnsiTheme="minorHAnsi"/>
          <w:b/>
          <w:bCs/>
          <w:sz w:val="22"/>
          <w:szCs w:val="22"/>
          <w:lang w:eastAsia="pl-PL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b w:val="false"/>
          <w:bCs w:val="false"/>
          <w:sz w:val="22"/>
          <w:szCs w:val="22"/>
          <w:lang w:eastAsia="pl-PL"/>
        </w:rPr>
        <w:t xml:space="preserve">„Rodzina w Centrum Etap I” realizowanego i współfinansowanego </w:t>
      </w:r>
      <w:r>
        <w:rPr>
          <w:rFonts w:eastAsia="Times New Roman" w:cs="Calibri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lang w:eastAsia="pl-PL"/>
        </w:rPr>
        <w:t>ze środków Unii Europejskiej w ramach programu Fundusze Europejskie dla Kujaw i Pomorza na lata 2021-2027, Oś priorytetowa 8 Fundusze europejskie na wsparcie w obszarze rynku pracy, edukacji i włączenia społecznego, Działanie 08.25 Usługi wsparcia rodziny i pieczy zastępczej</w:t>
      </w:r>
      <w:r>
        <w:rPr>
          <w:rFonts w:eastAsia="Times New Roman" w:cs="Calibri" w:ascii="Calibri" w:hAnsi="Calibri" w:asciiTheme="minorHAnsi" w:cstheme="minorHAnsi" w:hAnsiTheme="minorHAnsi"/>
          <w:b w:val="false"/>
          <w:bCs w:val="false"/>
          <w:sz w:val="22"/>
          <w:szCs w:val="22"/>
          <w:lang w:eastAsia="pl-PL"/>
        </w:rPr>
        <w:t>, związanego z realizacją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przedmiotu umowy jest – Powiat Nakielski/Powiatowe Centrum Pomocy Rodzinie w Nakle nad Notecią, który otrzyma środki finansowe w oparciu o umowę o partnerstwie na rzecz realizacji Projektu Rodzina w Centrum Etap I.</w:t>
      </w:r>
    </w:p>
    <w:p>
      <w:pPr>
        <w:pStyle w:val="Normal"/>
        <w:widowControl/>
        <w:numPr>
          <w:ilvl w:val="0"/>
          <w:numId w:val="13"/>
        </w:numPr>
        <w:tabs>
          <w:tab w:val="clear" w:pos="708"/>
        </w:tabs>
        <w:spacing w:lineRule="auto" w:line="276"/>
        <w:ind w:hanging="284" w:left="284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pl-PL"/>
        </w:rPr>
        <w:t>Ogólny koszt usługi, o której mowa w § 1, zwanej dalej wynagrodzeniem, zgodnie z ofertą Wykonawcy nie przekroczy kwoty brutto: ………………………………………… zł (słownie: ………….………….zł).</w:t>
      </w:r>
    </w:p>
    <w:p>
      <w:pPr>
        <w:pStyle w:val="Normal"/>
        <w:widowControl/>
        <w:numPr>
          <w:ilvl w:val="0"/>
          <w:numId w:val="13"/>
        </w:numPr>
        <w:tabs>
          <w:tab w:val="clear" w:pos="708"/>
        </w:tabs>
        <w:spacing w:lineRule="auto" w:line="276"/>
        <w:ind w:hanging="284" w:left="284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Koszt jednostkowy kompleksowego zorganizowania i przeprowadzenia 1 spotkania wynosi………………………. zł brutto (słownie: ………………….. zł).</w:t>
      </w:r>
    </w:p>
    <w:p>
      <w:pPr>
        <w:pStyle w:val="Normal"/>
        <w:widowControl/>
        <w:numPr>
          <w:ilvl w:val="0"/>
          <w:numId w:val="13"/>
        </w:numPr>
        <w:tabs>
          <w:tab w:val="clear" w:pos="708"/>
        </w:tabs>
        <w:spacing w:lineRule="auto" w:line="276"/>
        <w:ind w:hanging="284" w:left="284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Zapłata wynagrodzenia nastąpi po zrealizowaniu każdego pojedynczego spotkania zgodnie z harmonogramem, o którym mowa w § 1 ust. 3 umowy, 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przelewem na konto Wykonawcy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w terminie do 14 dni od daty wpływu do siedziby Zamawiającego prawidłowo wystawionej faktury wraz z dokumentami określonymi § 1 ust. 9 i szczegółowym opisie przedmiotu zamówienia stanowiącym załącznik nr 1 do umowy.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</w:t>
      </w:r>
    </w:p>
    <w:p>
      <w:pPr>
        <w:pStyle w:val="Normal"/>
        <w:widowControl/>
        <w:numPr>
          <w:ilvl w:val="0"/>
          <w:numId w:val="13"/>
        </w:numPr>
        <w:tabs>
          <w:tab w:val="clear" w:pos="708"/>
        </w:tabs>
        <w:spacing w:lineRule="auto" w:line="276"/>
        <w:ind w:hanging="284" w:left="284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 xml:space="preserve">Warunkiem dokonania zapłaty wynagrodzenia w terminie wskazanym w ust. 4 będzie dostępność środków finansowych na rachunku bankowym projektu partnerskiego, pn. „Rodzina w Centrum Etap I” </w:t>
      </w:r>
    </w:p>
    <w:p>
      <w:pPr>
        <w:pStyle w:val="Normal"/>
        <w:widowControl/>
        <w:numPr>
          <w:ilvl w:val="3"/>
          <w:numId w:val="19"/>
        </w:numPr>
        <w:suppressAutoHyphens w:val="false"/>
        <w:spacing w:lineRule="auto" w:line="276"/>
        <w:ind w:hanging="360" w:left="284"/>
        <w:jc w:val="both"/>
        <w:rPr>
          <w:rFonts w:ascii="Calibri" w:hAnsi="Calibri" w:eastAsia="Times New Roman" w:cs="Calibri" w:asciiTheme="minorHAnsi" w:cstheme="minorHAnsi" w:hAnsiTheme="minorHAnsi"/>
          <w:kern w:val="0"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Za dzień dokonania zapłaty strony uznają dzień, w którym zostanie obciążony rachunek bankowy Zamawiającego.</w:t>
      </w:r>
    </w:p>
    <w:p>
      <w:pPr>
        <w:pStyle w:val="Normal"/>
        <w:widowControl/>
        <w:numPr>
          <w:ilvl w:val="3"/>
          <w:numId w:val="19"/>
        </w:numPr>
        <w:suppressAutoHyphens w:val="false"/>
        <w:spacing w:lineRule="auto" w:line="276"/>
        <w:ind w:hanging="360" w:left="284"/>
        <w:jc w:val="both"/>
        <w:rPr>
          <w:rFonts w:ascii="Calibri" w:hAnsi="Calibri" w:eastAsia="Times New Roman" w:cs="Calibri" w:asciiTheme="minorHAnsi" w:cstheme="minorHAnsi" w:hAnsiTheme="minorHAnsi"/>
          <w:kern w:val="0"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Wykonawca wystawi fakturę według poniższego wzoru (</w:t>
      </w:r>
      <w:r>
        <w:rPr>
          <w:rFonts w:eastAsia="Times New Roman" w:cs="Calibri" w:ascii="Calibri" w:hAnsi="Calibri" w:asciiTheme="minorHAnsi" w:cstheme="minorHAnsi" w:hAnsiTheme="minorHAnsi"/>
          <w:sz w:val="22"/>
        </w:rPr>
        <w:t>jeżeli nie ma możliwości technicznych tylko na Nabywcę)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:</w:t>
      </w:r>
    </w:p>
    <w:p>
      <w:pPr>
        <w:pStyle w:val="Normal"/>
        <w:widowControl/>
        <w:suppressAutoHyphens w:val="false"/>
        <w:spacing w:lineRule="auto" w:line="276"/>
        <w:ind w:hanging="0" w:left="284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Nabywca: Powiat Nakielski</w:t>
      </w:r>
    </w:p>
    <w:p>
      <w:pPr>
        <w:pStyle w:val="Normal"/>
        <w:widowControl/>
        <w:suppressAutoHyphens w:val="false"/>
        <w:spacing w:lineRule="auto" w:line="276"/>
        <w:ind w:hanging="0" w:left="1247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ul. Dąbrowskiego 54</w:t>
      </w:r>
    </w:p>
    <w:p>
      <w:pPr>
        <w:pStyle w:val="Normal"/>
        <w:widowControl/>
        <w:suppressAutoHyphens w:val="false"/>
        <w:spacing w:lineRule="auto" w:line="276"/>
        <w:ind w:hanging="0" w:left="1247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89 – 100 Nakło nad Notecią</w:t>
      </w:r>
    </w:p>
    <w:p>
      <w:pPr>
        <w:pStyle w:val="Normal"/>
        <w:widowControl/>
        <w:suppressAutoHyphens w:val="false"/>
        <w:spacing w:lineRule="auto" w:line="276"/>
        <w:ind w:hanging="0" w:left="1247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NIP 558 17 24 333</w:t>
      </w:r>
    </w:p>
    <w:p>
      <w:pPr>
        <w:pStyle w:val="Normal"/>
        <w:widowControl/>
        <w:suppressAutoHyphens w:val="false"/>
        <w:spacing w:lineRule="auto" w:line="276"/>
        <w:ind w:hanging="0" w:left="284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Odbiorca: Powiatowe Centrum Pomocy Rodzinie</w:t>
      </w:r>
    </w:p>
    <w:p>
      <w:pPr>
        <w:pStyle w:val="Normal"/>
        <w:widowControl/>
        <w:suppressAutoHyphens w:val="false"/>
        <w:spacing w:lineRule="auto" w:line="276"/>
        <w:ind w:hanging="0" w:left="1247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ul. Dąbrowskiego 46</w:t>
      </w:r>
    </w:p>
    <w:p>
      <w:pPr>
        <w:pStyle w:val="Normal"/>
        <w:widowControl/>
        <w:suppressAutoHyphens w:val="false"/>
        <w:spacing w:lineRule="auto" w:line="276"/>
        <w:ind w:hanging="0" w:left="1247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89 – 100 Nakło nad Notecią</w:t>
      </w:r>
    </w:p>
    <w:p>
      <w:pPr>
        <w:pStyle w:val="Normal"/>
        <w:spacing w:lineRule="auto" w:line="276"/>
        <w:jc w:val="center"/>
        <w:rPr>
          <w:rFonts w:ascii="Calibri" w:hAnsi="Calibri" w:eastAsia="Times New Roman" w:cs="Calibri" w:asciiTheme="minorHAnsi" w:cstheme="minorHAnsi" w:hAnsiTheme="minorHAnsi"/>
          <w:b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b/>
          <w:sz w:val="22"/>
          <w:szCs w:val="22"/>
        </w:rPr>
        <w:t>§7</w:t>
      </w:r>
    </w:p>
    <w:p>
      <w:pPr>
        <w:pStyle w:val="Normal"/>
        <w:spacing w:lineRule="auto" w:line="276" w:before="0" w:after="120"/>
        <w:jc w:val="center"/>
        <w:rPr>
          <w:rFonts w:ascii="Calibri" w:hAnsi="Calibri" w:eastAsia="Times New Roman" w:cs="Calibri" w:asciiTheme="minorHAnsi" w:cstheme="minorHAnsi" w:hAnsiTheme="minorHAnsi"/>
          <w:b/>
          <w:color w:themeColor="text1" w:val="000000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b/>
          <w:color w:themeColor="text1" w:val="000000"/>
          <w:sz w:val="22"/>
          <w:szCs w:val="22"/>
        </w:rPr>
        <w:t>Ochrona danych osobowych</w:t>
      </w:r>
    </w:p>
    <w:p>
      <w:pPr>
        <w:pStyle w:val="Normal"/>
        <w:widowControl/>
        <w:numPr>
          <w:ilvl w:val="0"/>
          <w:numId w:val="6"/>
        </w:numPr>
        <w:spacing w:lineRule="auto" w:line="276"/>
        <w:ind w:hanging="284" w:left="284"/>
        <w:jc w:val="both"/>
        <w:rPr>
          <w:rFonts w:ascii="Calibri" w:hAnsi="Calibri" w:eastAsia="Times New Roman" w:cs="Calibri" w:asciiTheme="minorHAnsi" w:cstheme="minorHAnsi" w:hAnsiTheme="minorHAnsi"/>
          <w:color w:themeColor="text1" w:val="000000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color w:themeColor="text1" w:val="000000"/>
          <w:sz w:val="22"/>
          <w:szCs w:val="22"/>
        </w:rPr>
        <w:t>Przy przetwarzaniu danych osobowych, w związku z realizacją przedmiotu zamówienia, o którym mowa w §1 ust.1, Wykonawca zobowiązuje się do przestrzegania zasad, zgodnie z zapisami zawartymi w rozporządzeniu Parlamentu Europejskiego i Rady (UE) 2016/679 z 27 kwietnia 2016r. w sprawie ochrony osób fizycznych w związku z przetwarzaniem danych osobowych i w sprawie swobodnego przepływu takich danych; zwanych dalej RODO oraz w krajowych przepisach dotyczących ochrony danych osobowych.</w:t>
      </w:r>
    </w:p>
    <w:p>
      <w:pPr>
        <w:pStyle w:val="Normal"/>
        <w:widowControl/>
        <w:numPr>
          <w:ilvl w:val="0"/>
          <w:numId w:val="6"/>
        </w:numPr>
        <w:spacing w:lineRule="auto" w:line="276"/>
        <w:ind w:hanging="284" w:left="284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Wykonawca wyraża zgodę na przetwarzanie jego danych osobowych dla celów wykonania niniejszej umowy, zgodnie z załącznikiem nr 4 do umowy oraz oświadcza, że zapoznał się z klauzulami informacyjnymi dotyczącymi przetwarzania danych osobowych, zgodnie z załącznikiem nr 5</w:t>
      </w:r>
      <w:bookmarkStart w:id="0" w:name="_GoBack"/>
      <w:bookmarkEnd w:id="0"/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 xml:space="preserve"> do umowy.</w:t>
      </w:r>
    </w:p>
    <w:p>
      <w:pPr>
        <w:pStyle w:val="Normal"/>
        <w:spacing w:lineRule="auto" w:line="276"/>
        <w:jc w:val="center"/>
        <w:rPr>
          <w:rFonts w:ascii="Calibri" w:hAnsi="Calibri" w:eastAsia="Times New Roman" w:cs="Calibri" w:asciiTheme="minorHAnsi" w:cstheme="minorHAnsi" w:hAnsiTheme="minorHAnsi"/>
          <w:b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b/>
          <w:sz w:val="22"/>
          <w:szCs w:val="22"/>
          <w:lang w:eastAsia="pl-PL"/>
        </w:rPr>
        <w:t>§ 8</w:t>
      </w:r>
    </w:p>
    <w:p>
      <w:pPr>
        <w:pStyle w:val="Normal"/>
        <w:spacing w:lineRule="auto" w:line="276"/>
        <w:jc w:val="center"/>
        <w:rPr>
          <w:rFonts w:ascii="Calibri" w:hAnsi="Calibri" w:eastAsia="Times New Roman" w:cs="Calibri" w:asciiTheme="minorHAnsi" w:cstheme="minorHAnsi" w:hAnsiTheme="minorHAnsi"/>
          <w:b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b/>
          <w:sz w:val="22"/>
          <w:szCs w:val="22"/>
          <w:lang w:eastAsia="pl-PL"/>
        </w:rPr>
        <w:t>Dokumentacja</w:t>
      </w:r>
    </w:p>
    <w:p>
      <w:pPr>
        <w:pStyle w:val="Normal"/>
        <w:keepNext w:val="true"/>
        <w:widowControl/>
        <w:numPr>
          <w:ilvl w:val="0"/>
          <w:numId w:val="7"/>
        </w:numPr>
        <w:tabs>
          <w:tab w:val="clear" w:pos="708"/>
        </w:tabs>
        <w:spacing w:lineRule="auto" w:line="276"/>
        <w:ind w:hanging="284" w:left="284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Za dokumentację związaną z realizacją umowy uznaje się wszelką dokumentację wytworzoną w związku z realizacją umowy oraz dokumentację finansową.</w:t>
      </w:r>
    </w:p>
    <w:p>
      <w:pPr>
        <w:pStyle w:val="Normal"/>
        <w:keepNext w:val="true"/>
        <w:widowControl/>
        <w:numPr>
          <w:ilvl w:val="0"/>
          <w:numId w:val="7"/>
        </w:numPr>
        <w:tabs>
          <w:tab w:val="clear" w:pos="708"/>
        </w:tabs>
        <w:spacing w:lineRule="auto" w:line="276"/>
        <w:ind w:hanging="284" w:left="284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Zamawiający zastrzega sobie prawo wglądu do dokumentów Wykonawcy związanych z realizowaną umową, w tym dokumentów finansowych.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</w:tabs>
        <w:spacing w:lineRule="auto" w:line="276"/>
        <w:ind w:hanging="284" w:left="284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 xml:space="preserve">Wykonawca zobowiązuje się do przechowywania dokumentacji związanej z realizacją umowy przez okres trzech lat od dnia 31 grudnia roku następującego po złożeniu do Komisji Europejskiej zestawienia wydatków, w którym ujęto ostateczne wydatki dotyczące zakończonego Projektu. Zamawiający, po uzyskaniu informacji od Instytucji Zarządzającej, powiadomi Wykonawcę o dacie rozpoczęcia okresu, o którym mowa w zdaniu pierwszym. 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</w:tabs>
        <w:spacing w:lineRule="auto" w:line="276"/>
        <w:ind w:hanging="284" w:left="284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 xml:space="preserve">W przypadku konieczności przedłużenia terminu, o którym mowa w ust. 3, Zamawiający powiadomi o tym pisemnie Wykonawcę przed upływem tego terminu. 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</w:tabs>
        <w:spacing w:lineRule="auto" w:line="276"/>
        <w:ind w:hanging="284" w:left="284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Strony przechowują dokumentację związaną z realizacją Projektu w sposób zapewniający dostępność, poufność i bezpieczeństwo.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</w:tabs>
        <w:spacing w:lineRule="auto" w:line="276"/>
        <w:ind w:hanging="284" w:left="284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Wykonawca jest zobowiązany do poinformowania Zamawiającego o miejscu archiwizacji całej dokumentacji związanej z realizacją umowy, w terminie 5 dni roboczych od dnia podpisania umowy, o ile dokumentacja jest przechowywana poza jego siedzibą.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</w:tabs>
        <w:spacing w:lineRule="auto" w:line="276"/>
        <w:ind w:hanging="284" w:left="284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W przypadku zmiany miejsca archiwizacji dokumentów oraz w przypadku zawieszenia lub zaprzestania przez Wykonawcę działalności w okresie, o którym mowa w ust. 3, Wykonawca zobowiązuje się niezwłocznie na piśmie poinformować Zamawiającego o miejscu archiwizacji dokumentów związanych z realizowaną umową.</w:t>
      </w:r>
    </w:p>
    <w:p>
      <w:pPr>
        <w:pStyle w:val="Normal"/>
        <w:spacing w:lineRule="auto" w:line="276"/>
        <w:jc w:val="center"/>
        <w:rPr>
          <w:rFonts w:ascii="Calibri" w:hAnsi="Calibri" w:eastAsia="Times New Roman" w:cs="Calibri" w:asciiTheme="minorHAnsi" w:cstheme="minorHAnsi" w:hAnsiTheme="minorHAnsi"/>
          <w:b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b/>
          <w:sz w:val="22"/>
          <w:szCs w:val="22"/>
          <w:lang w:eastAsia="pl-PL"/>
        </w:rPr>
        <w:t>§ 9</w:t>
      </w:r>
    </w:p>
    <w:p>
      <w:pPr>
        <w:pStyle w:val="Normal"/>
        <w:spacing w:lineRule="auto" w:line="276"/>
        <w:jc w:val="center"/>
        <w:rPr>
          <w:rFonts w:ascii="Calibri" w:hAnsi="Calibri" w:eastAsia="Times New Roman" w:cs="Calibri" w:asciiTheme="minorHAnsi" w:cstheme="minorHAnsi" w:hAnsiTheme="minorHAnsi"/>
          <w:b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b/>
          <w:sz w:val="22"/>
          <w:szCs w:val="22"/>
          <w:lang w:eastAsia="pl-PL"/>
        </w:rPr>
        <w:t>Kary umowne</w:t>
      </w:r>
    </w:p>
    <w:p>
      <w:pPr>
        <w:pStyle w:val="Normal"/>
        <w:widowControl/>
        <w:numPr>
          <w:ilvl w:val="0"/>
          <w:numId w:val="8"/>
        </w:numPr>
        <w:spacing w:lineRule="auto" w:line="276"/>
        <w:ind w:hanging="284" w:left="284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Wykonawca zapłaci Zamawiającemu kary umowne:</w:t>
      </w:r>
    </w:p>
    <w:p>
      <w:pPr>
        <w:pStyle w:val="Normal"/>
        <w:widowControl/>
        <w:numPr>
          <w:ilvl w:val="0"/>
          <w:numId w:val="16"/>
        </w:numPr>
        <w:spacing w:lineRule="auto" w:line="276"/>
        <w:ind w:hanging="425" w:left="851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iCs/>
          <w:sz w:val="22"/>
          <w:szCs w:val="22"/>
        </w:rPr>
        <w:t>w przypadku odstąpienia od umowy w całości przez którąkolwiek ze Stron z przyczyn leżących po stronie Wykonawcy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 xml:space="preserve"> - w wysokości 30% wynagrodzenia brutto wskazanego w § 6 ust. 2 umowy;</w:t>
      </w:r>
    </w:p>
    <w:p>
      <w:pPr>
        <w:pStyle w:val="Normal"/>
        <w:widowControl/>
        <w:numPr>
          <w:ilvl w:val="0"/>
          <w:numId w:val="16"/>
        </w:numPr>
        <w:spacing w:lineRule="auto" w:line="276"/>
        <w:ind w:hanging="425" w:left="851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iCs/>
          <w:sz w:val="22"/>
          <w:szCs w:val="22"/>
        </w:rPr>
        <w:t>odstąpienia od części umowy przez którąkolwiek ze stron z przyczyn leżących po stronie Wykonawcy - w wysokości 30% wynagrodzenia brutto części umowy, co do której następuje odstąpienie;</w:t>
      </w:r>
    </w:p>
    <w:p>
      <w:pPr>
        <w:pStyle w:val="Normal"/>
        <w:widowControl/>
        <w:numPr>
          <w:ilvl w:val="0"/>
          <w:numId w:val="16"/>
        </w:numPr>
        <w:spacing w:lineRule="auto" w:line="276"/>
        <w:ind w:hanging="425" w:left="851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 xml:space="preserve">za zwłokę w rozpoczęciu świadczenia usług, </w:t>
      </w:r>
      <w:r>
        <w:rPr>
          <w:rFonts w:eastAsia="Times New Roman" w:cs="Calibri" w:ascii="Calibri" w:hAnsi="Calibri" w:asciiTheme="minorHAnsi" w:cstheme="minorHAnsi" w:hAnsiTheme="minorHAnsi"/>
          <w:iCs/>
          <w:sz w:val="22"/>
          <w:szCs w:val="22"/>
        </w:rPr>
        <w:t>z przyczyn leżących po stronie Wykonawcy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 xml:space="preserve"> – w wysokości 1% wynagrodzenia brutto wskazanego w § 6 ust. 2 umowy za każdy dzień zwłoki;</w:t>
      </w:r>
    </w:p>
    <w:p>
      <w:pPr>
        <w:pStyle w:val="Normal"/>
        <w:widowControl/>
        <w:numPr>
          <w:ilvl w:val="0"/>
          <w:numId w:val="16"/>
        </w:numPr>
        <w:spacing w:lineRule="auto" w:line="276"/>
        <w:ind w:hanging="425" w:left="851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za realizację usługi niezgodnie z harmonogramem świadczonych usług, o którym mowa w § 1 ust. 3 bez zgody Zamawiającego – w wysokości 1% wynagrodzenia brutto określonego w § 6 ust. 2 umowy za każdy przypadek niezgodnego wykonania usługi;</w:t>
      </w:r>
    </w:p>
    <w:p>
      <w:pPr>
        <w:pStyle w:val="Normal"/>
        <w:widowControl/>
        <w:numPr>
          <w:ilvl w:val="0"/>
          <w:numId w:val="16"/>
        </w:numPr>
        <w:spacing w:lineRule="auto" w:line="276"/>
        <w:ind w:hanging="425" w:left="851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za stwierdzenie rażących zaniedbań w realizacji przedmiotu umowy, w tym w szczególności w przypadku powtórzenia się nieprawidłowości w świadczeniu usług – w wysokości 10% wynagrodzenia brutto wskazanego w § 6 ust. 2 umowy.</w:t>
      </w:r>
    </w:p>
    <w:p>
      <w:pPr>
        <w:pStyle w:val="Normal"/>
        <w:widowControl/>
        <w:numPr>
          <w:ilvl w:val="0"/>
          <w:numId w:val="9"/>
        </w:numPr>
        <w:tabs>
          <w:tab w:val="clear" w:pos="708"/>
        </w:tabs>
        <w:spacing w:lineRule="auto" w:line="276"/>
        <w:ind w:hanging="284" w:left="284"/>
        <w:jc w:val="both"/>
        <w:rPr>
          <w:rFonts w:ascii="Calibri" w:hAnsi="Calibri" w:eastAsia="Times New Roman" w:cs="Calibri" w:asciiTheme="minorHAnsi" w:cstheme="minorHAnsi" w:hAnsiTheme="minorHAnsi"/>
          <w:color w:themeColor="text1" w:val="000000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 xml:space="preserve">Na etapie realizacji umowy, w miejscu i dniach świadczenia usługi, Wykonawca zobowiązany jest do przedstawienia Zamawiającemu dowodów na wykorzystywanie do przygotowania serwisu kawowego kawy i herbaty opatrzonej etykietą Fair Trade lub inną równoważną etykietą. W tym celu Wykonawca przedstawi do wglądu i oceny produkty wykorzystywane do przygotowania </w:t>
      </w:r>
      <w:r>
        <w:rPr>
          <w:rFonts w:eastAsia="Times New Roman" w:cs="Calibri" w:ascii="Calibri" w:hAnsi="Calibri" w:asciiTheme="minorHAnsi" w:cstheme="minorHAnsi" w:hAnsiTheme="minorHAnsi"/>
          <w:color w:themeColor="text1" w:val="000000"/>
          <w:sz w:val="22"/>
          <w:szCs w:val="22"/>
        </w:rPr>
        <w:t>serwisu kawowego.</w:t>
      </w:r>
    </w:p>
    <w:p>
      <w:pPr>
        <w:pStyle w:val="Normal"/>
        <w:widowControl/>
        <w:numPr>
          <w:ilvl w:val="0"/>
          <w:numId w:val="9"/>
        </w:numPr>
        <w:tabs>
          <w:tab w:val="clear" w:pos="708"/>
        </w:tabs>
        <w:spacing w:lineRule="auto" w:line="276"/>
        <w:ind w:hanging="284" w:left="284"/>
        <w:jc w:val="both"/>
        <w:rPr>
          <w:rFonts w:ascii="Calibri" w:hAnsi="Calibri" w:eastAsia="Times New Roman" w:cs="Calibri" w:asciiTheme="minorHAnsi" w:cstheme="minorHAnsi" w:hAnsiTheme="minorHAnsi"/>
          <w:color w:themeColor="text1" w:val="000000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color w:themeColor="text1" w:val="000000"/>
          <w:sz w:val="22"/>
          <w:szCs w:val="22"/>
        </w:rPr>
        <w:t>W przypadku stwierdzenia przez Zamawiającego braku wykorzystania do przygotowania serwisu kawowego, kawy i/lub herbaty oznaczonej etykietą, o której mowa w §9 ust. 2, Wykonawca zapłaci karę umowną w wysokości 10% wynagrodzenia brutto określonego w § 6 ust. 2 umowy za każde spotkanie, w czasie którego nie wykorzystano kawy i/lub herbaty opatrzonej etykietą Fair Trade lub inną równoważną etykietą.</w:t>
      </w:r>
    </w:p>
    <w:p>
      <w:pPr>
        <w:pStyle w:val="Normal"/>
        <w:widowControl/>
        <w:numPr>
          <w:ilvl w:val="0"/>
          <w:numId w:val="9"/>
        </w:numPr>
        <w:tabs>
          <w:tab w:val="clear" w:pos="708"/>
        </w:tabs>
        <w:spacing w:lineRule="auto" w:line="276"/>
        <w:ind w:hanging="284" w:left="284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Zamawiający może potrącić naliczone kary umowne ze swoich zobowiązań wobec Wykonawcy, na co przez podpisanie umowy wyraża zgodę Wykonawca.</w:t>
      </w:r>
    </w:p>
    <w:p>
      <w:pPr>
        <w:pStyle w:val="Normal"/>
        <w:widowControl/>
        <w:numPr>
          <w:ilvl w:val="0"/>
          <w:numId w:val="9"/>
        </w:numPr>
        <w:tabs>
          <w:tab w:val="clear" w:pos="708"/>
        </w:tabs>
        <w:spacing w:lineRule="auto" w:line="276"/>
        <w:ind w:hanging="284" w:left="284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W przypadku, gdy potrącenie kary umownej z wynagrodzenia Wykonawcy nie będzie możliwe, Wykonawca zobowiązuje się do zapłaty kary umownej w terminie 14 dni roboczych od dnia otrzymania noty obciążeniowej wystawionej przez Zamawiającego.</w:t>
      </w:r>
    </w:p>
    <w:p>
      <w:pPr>
        <w:pStyle w:val="Normal"/>
        <w:widowControl/>
        <w:numPr>
          <w:ilvl w:val="0"/>
          <w:numId w:val="9"/>
        </w:numPr>
        <w:tabs>
          <w:tab w:val="clear" w:pos="708"/>
        </w:tabs>
        <w:spacing w:lineRule="auto" w:line="276"/>
        <w:ind w:hanging="284" w:left="284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W przypadku nieprzystąpienia do wykonania niniejszej umowy w terminie określonym w umowie z przyczyn leżących po stronie Wykonawcy, jak również zaprzestania wykonania umowy, Zamawiający może odstąpić od umowy z przyczyn leżących po stronie Wykonawcy ze skutkiem natychmiastowym bez uprzedniego wzywania do usunięcia nieprawidłowości. W takim wypadku Wykonawca zobowiązany jest do zapłaty na rzecz Zamawiającego kwoty w wysokości stanowiącej równowartość 30% kwoty brutto określonej w § 6 ust. 2 tytułem kary umownej.</w:t>
      </w:r>
    </w:p>
    <w:p>
      <w:pPr>
        <w:pStyle w:val="Normal"/>
        <w:widowControl/>
        <w:numPr>
          <w:ilvl w:val="0"/>
          <w:numId w:val="9"/>
        </w:numPr>
        <w:tabs>
          <w:tab w:val="clear" w:pos="708"/>
        </w:tabs>
        <w:spacing w:lineRule="auto" w:line="276"/>
        <w:ind w:hanging="284" w:left="284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W przypadku nieprawidłowości w realizacji umowy uniemożliwiających jej realizację na zasadach w niej określonych, Zamawiający może od umowy odstąpić z winy Wykonawcy w terminie natychmiastowym ze skutkiem jak w ust. 4.</w:t>
      </w:r>
    </w:p>
    <w:p>
      <w:pPr>
        <w:pStyle w:val="Normal"/>
        <w:widowControl/>
        <w:numPr>
          <w:ilvl w:val="0"/>
          <w:numId w:val="9"/>
        </w:numPr>
        <w:tabs>
          <w:tab w:val="clear" w:pos="708"/>
        </w:tabs>
        <w:spacing w:lineRule="auto" w:line="276"/>
        <w:ind w:hanging="284" w:left="284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Zapłata kar umownych, o których mowa w ust. 4 lub 5 winna nastąpić w terminie 14 dni od daty odstąpienia od umowy.</w:t>
      </w:r>
    </w:p>
    <w:p>
      <w:pPr>
        <w:pStyle w:val="Normal"/>
        <w:widowControl/>
        <w:numPr>
          <w:ilvl w:val="0"/>
          <w:numId w:val="9"/>
        </w:numPr>
        <w:tabs>
          <w:tab w:val="clear" w:pos="708"/>
        </w:tabs>
        <w:spacing w:lineRule="auto" w:line="276"/>
        <w:ind w:hanging="284" w:left="284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Strony zastrzegają sobie prawo do dochodzenia odszkodowania w kwotach przekraczających kary umowne na zasadach ogólnych Kodeksu cywilnego.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927" w:leader="none"/>
        </w:tabs>
        <w:spacing w:lineRule="auto" w:line="276"/>
        <w:ind w:hanging="284" w:left="284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Wykonawca nie ponosi odpowiedzialności za zdarzenia, które są niezależne od niego i na zaistnienie których nie ma wpływu.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927" w:leader="none"/>
        </w:tabs>
        <w:spacing w:lineRule="auto" w:line="276"/>
        <w:ind w:hanging="284" w:left="284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Każda zmiana adresu stron wymaga powiadomienia o tym strony drugiej pod rygorem uznania pisma skierowanego pod adres dotychczasowy za doręczone.</w:t>
      </w:r>
    </w:p>
    <w:p>
      <w:pPr>
        <w:pStyle w:val="Normal"/>
        <w:spacing w:lineRule="auto" w:line="276"/>
        <w:jc w:val="center"/>
        <w:rPr>
          <w:rFonts w:ascii="Calibri" w:hAnsi="Calibri" w:eastAsia="Times New Roman" w:cs="Calibri" w:asciiTheme="minorHAnsi" w:cstheme="minorHAnsi" w:hAnsiTheme="minorHAnsi"/>
          <w:b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b/>
          <w:sz w:val="22"/>
          <w:szCs w:val="22"/>
          <w:lang w:eastAsia="pl-PL"/>
        </w:rPr>
        <w:t>§ 10</w:t>
      </w:r>
    </w:p>
    <w:p>
      <w:pPr>
        <w:pStyle w:val="Normal"/>
        <w:spacing w:lineRule="auto" w:line="276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pl-PL"/>
        </w:rPr>
        <w:t>Zamawiający może rozwiązać niniejszą umowę w trybie natychmiastowym w przypadku, gdy:</w:t>
      </w:r>
    </w:p>
    <w:p>
      <w:pPr>
        <w:pStyle w:val="Normal"/>
        <w:widowControl/>
        <w:numPr>
          <w:ilvl w:val="0"/>
          <w:numId w:val="12"/>
        </w:numPr>
        <w:spacing w:lineRule="auto" w:line="276"/>
        <w:ind w:hanging="437" w:left="851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pl-PL"/>
        </w:rPr>
        <w:t>Wykonawca złoży fałszywe, podrobione lub stwierdzające nieprawdę dokumenty w celu uzyskania zapłaty za wykonaną usługę w ramach niniejszej umowy;</w:t>
      </w:r>
    </w:p>
    <w:p>
      <w:pPr>
        <w:pStyle w:val="Normal"/>
        <w:widowControl/>
        <w:numPr>
          <w:ilvl w:val="0"/>
          <w:numId w:val="12"/>
        </w:numPr>
        <w:spacing w:lineRule="auto" w:line="276"/>
        <w:ind w:hanging="437" w:left="851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pl-PL"/>
        </w:rPr>
        <w:t>został złożony wniosek o ogłoszenie upadłości Wykonawcy lub gdy Wykonawcę postawiono w stan likwidacji lub gdy zaczął podlegać zarządowi komisarycznemu lub gdy zawiesił swoją działalność lub stał się podmiotem postępowań o podobnym charakterze;</w:t>
      </w:r>
    </w:p>
    <w:p>
      <w:pPr>
        <w:pStyle w:val="Normal"/>
        <w:widowControl/>
        <w:numPr>
          <w:ilvl w:val="0"/>
          <w:numId w:val="12"/>
        </w:numPr>
        <w:spacing w:lineRule="auto" w:line="276"/>
        <w:ind w:hanging="437" w:left="851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Wykonawca nie zrealizował usługi będącej przedmiotem umowy w terminie określonym w umowie, zaprzestał realizacji usługi lub realizuje ją w sposób niezgodny z niniejszą umową. </w:t>
      </w:r>
    </w:p>
    <w:p>
      <w:pPr>
        <w:pStyle w:val="Normal"/>
        <w:spacing w:lineRule="auto" w:line="276"/>
        <w:jc w:val="center"/>
        <w:rPr>
          <w:rFonts w:ascii="Calibri" w:hAnsi="Calibri" w:eastAsia="Times New Roman" w:cs="Calibri" w:asciiTheme="minorHAnsi" w:cstheme="minorHAnsi" w:hAnsiTheme="minorHAnsi"/>
          <w:b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b/>
          <w:sz w:val="22"/>
          <w:szCs w:val="22"/>
          <w:lang w:eastAsia="pl-PL"/>
        </w:rPr>
        <w:t>§ 11</w:t>
      </w:r>
    </w:p>
    <w:p>
      <w:pPr>
        <w:pStyle w:val="Normal"/>
        <w:spacing w:lineRule="auto" w:line="276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pl-PL"/>
        </w:rPr>
        <w:t>W przypadku rozwiązania umowy Wykonawcy zostanie wypłacone wynagrodzenie wyłącznie w wysokości odpowiadającej prawidłowo zrealizowanej części umowy, potrącone o ewentualne kary umowne.</w:t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jc w:val="center"/>
        <w:rPr>
          <w:rFonts w:ascii="Calibri" w:hAnsi="Calibri" w:eastAsia="Times New Roman" w:cs="Calibri" w:asciiTheme="minorHAnsi" w:cstheme="minorHAnsi" w:hAnsiTheme="minorHAnsi"/>
          <w:b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b/>
          <w:sz w:val="22"/>
          <w:szCs w:val="22"/>
          <w:lang w:eastAsia="pl-PL"/>
        </w:rPr>
        <w:t>§ 12</w:t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jc w:val="center"/>
        <w:rPr>
          <w:rFonts w:ascii="Calibri" w:hAnsi="Calibri" w:eastAsia="Times New Roman" w:cs="Calibri" w:asciiTheme="minorHAnsi" w:cstheme="minorHAnsi" w:hAnsiTheme="minorHAnsi"/>
          <w:b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b/>
          <w:sz w:val="22"/>
          <w:szCs w:val="22"/>
          <w:lang w:eastAsia="pl-PL"/>
        </w:rPr>
        <w:t>Postanowienia końcowe</w:t>
      </w:r>
    </w:p>
    <w:p>
      <w:pPr>
        <w:pStyle w:val="Normal"/>
        <w:widowControl/>
        <w:numPr>
          <w:ilvl w:val="0"/>
          <w:numId w:val="14"/>
        </w:numPr>
        <w:spacing w:lineRule="auto" w:line="276"/>
        <w:ind w:hanging="284" w:left="284"/>
        <w:jc w:val="both"/>
        <w:rPr>
          <w:rFonts w:ascii="Calibri" w:hAnsi="Calibri" w:eastAsia="Times New Roman" w:cs="Calibri" w:asciiTheme="minorHAnsi" w:cstheme="minorHAnsi" w:hAnsiTheme="minorHAnsi"/>
          <w:bCs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bCs/>
          <w:sz w:val="22"/>
          <w:szCs w:val="22"/>
          <w:lang w:eastAsia="pl-PL"/>
        </w:rPr>
        <w:t>Zmiany umowy wymagają formy pisemnej pod rygorem jej nieważności.</w:t>
      </w:r>
    </w:p>
    <w:p>
      <w:pPr>
        <w:pStyle w:val="Normal"/>
        <w:widowControl/>
        <w:numPr>
          <w:ilvl w:val="0"/>
          <w:numId w:val="14"/>
        </w:numPr>
        <w:spacing w:lineRule="auto" w:line="276"/>
        <w:ind w:hanging="284" w:left="284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bCs/>
          <w:sz w:val="22"/>
          <w:szCs w:val="22"/>
          <w:lang w:eastAsia="pl-PL"/>
        </w:rPr>
        <w:t>Dopuszcza się możliwość dokonania zmian niniejszej umowy w stosunku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do treści oferty jedynie w zakresie:</w:t>
      </w:r>
    </w:p>
    <w:p>
      <w:pPr>
        <w:pStyle w:val="Normal"/>
        <w:widowControl/>
        <w:numPr>
          <w:ilvl w:val="1"/>
          <w:numId w:val="14"/>
        </w:numPr>
        <w:spacing w:lineRule="auto" w:line="276"/>
        <w:ind w:hanging="425" w:left="851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pl-PL"/>
        </w:rPr>
        <w:t>harmonogramu przedmiotu umowy;</w:t>
      </w:r>
    </w:p>
    <w:p>
      <w:pPr>
        <w:pStyle w:val="Normal"/>
        <w:widowControl/>
        <w:numPr>
          <w:ilvl w:val="1"/>
          <w:numId w:val="14"/>
        </w:numPr>
        <w:spacing w:lineRule="auto" w:line="276"/>
        <w:ind w:hanging="425" w:left="851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pl-PL"/>
        </w:rPr>
        <w:t>zmian przepisów prawnych dotyczących prowadzenia usług będących przedmiotem umowy;</w:t>
      </w:r>
    </w:p>
    <w:p>
      <w:pPr>
        <w:pStyle w:val="Normal"/>
        <w:widowControl/>
        <w:numPr>
          <w:ilvl w:val="1"/>
          <w:numId w:val="14"/>
        </w:numPr>
        <w:spacing w:lineRule="auto" w:line="276"/>
        <w:ind w:hanging="425" w:left="851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pl-PL"/>
        </w:rPr>
        <w:t>składu osobowego kadry – wskazanej przez Zamawiającego i zapewnionych przez Wykonawcę;</w:t>
      </w:r>
    </w:p>
    <w:p>
      <w:pPr>
        <w:pStyle w:val="Normal"/>
        <w:widowControl/>
        <w:numPr>
          <w:ilvl w:val="1"/>
          <w:numId w:val="14"/>
        </w:numPr>
        <w:spacing w:lineRule="auto" w:line="276"/>
        <w:ind w:hanging="425" w:left="851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pl-PL"/>
        </w:rPr>
        <w:t>terminu i miejsca realizacji przedmiotu umowy.</w:t>
      </w:r>
    </w:p>
    <w:p>
      <w:pPr>
        <w:pStyle w:val="Normal"/>
        <w:widowControl/>
        <w:numPr>
          <w:ilvl w:val="0"/>
          <w:numId w:val="14"/>
        </w:numPr>
        <w:spacing w:lineRule="auto" w:line="276"/>
        <w:ind w:hanging="284" w:left="284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pl-PL"/>
        </w:rPr>
        <w:t>Warunkiem wprowadzenia zmiany terminu wykonania przedmiotu umowy jest wystąpienie okoliczności niezależnych od stron umowy, uniemożliwiających wykonanie umowy w terminie pierwotnym. Obowiązek udokumentowania wystąpienia okoliczności uzasadniających zmianę terminu wykonania przedmiotu umowy ciąży na stronie umowy wnioskującej o wprowadzenie zmiany. Za okoliczności uniemożliwiające wykonanie przedmiotu umowy w terminie uznaje się w szczególności: działanie siły wyższej.</w:t>
      </w:r>
    </w:p>
    <w:p>
      <w:pPr>
        <w:pStyle w:val="Normal"/>
        <w:spacing w:lineRule="auto" w:line="276"/>
        <w:jc w:val="center"/>
        <w:rPr>
          <w:rFonts w:ascii="Calibri" w:hAnsi="Calibri" w:eastAsia="Times New Roman" w:cs="Calibri" w:asciiTheme="minorHAnsi" w:cstheme="minorHAnsi" w:hAnsiTheme="minorHAnsi"/>
          <w:b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b/>
          <w:sz w:val="22"/>
          <w:szCs w:val="22"/>
          <w:lang w:eastAsia="pl-PL"/>
        </w:rPr>
        <w:t>§ 13</w:t>
      </w:r>
    </w:p>
    <w:p>
      <w:pPr>
        <w:pStyle w:val="Normal"/>
        <w:widowControl/>
        <w:numPr>
          <w:ilvl w:val="0"/>
          <w:numId w:val="15"/>
        </w:numPr>
        <w:spacing w:lineRule="auto" w:line="276"/>
        <w:ind w:hanging="284" w:left="284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bCs/>
          <w:sz w:val="22"/>
          <w:szCs w:val="22"/>
          <w:lang w:eastAsia="pl-PL"/>
        </w:rPr>
        <w:t xml:space="preserve">W 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pl-PL"/>
        </w:rPr>
        <w:t>sprawach nieuregulowanych niniejszą umową mają zastosowanie przepisy Kodeksu cywilnego.</w:t>
      </w:r>
    </w:p>
    <w:p>
      <w:pPr>
        <w:pStyle w:val="Normal"/>
        <w:widowControl/>
        <w:numPr>
          <w:ilvl w:val="0"/>
          <w:numId w:val="15"/>
        </w:numPr>
        <w:spacing w:lineRule="auto" w:line="276"/>
        <w:ind w:hanging="284" w:left="284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pl-PL"/>
        </w:rPr>
        <w:t>Niniejsza umowa została sporządzona w trzech jednobrzmiących egzemplarzach, dwa dla Zamawiającego i jeden dla Wykonawcy.</w:t>
      </w:r>
    </w:p>
    <w:p>
      <w:pPr>
        <w:pStyle w:val="Normal"/>
        <w:widowControl/>
        <w:numPr>
          <w:ilvl w:val="0"/>
          <w:numId w:val="15"/>
        </w:numPr>
        <w:spacing w:lineRule="auto" w:line="276"/>
        <w:ind w:hanging="284" w:left="284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pl-PL"/>
        </w:rPr>
        <w:t>W sprawach spornych sądem rozstrzygającym będzie sąd właściwy miejscowo dla siedziby Zamawiającego.</w:t>
      </w:r>
    </w:p>
    <w:p>
      <w:pPr>
        <w:pStyle w:val="Normal"/>
        <w:widowControl/>
        <w:spacing w:lineRule="auto" w:line="276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Times New Roman" w:cs="Calibri" w:cstheme="minorHAnsi" w:ascii="Calibri" w:hAnsi="Calibri"/>
          <w:sz w:val="22"/>
          <w:szCs w:val="22"/>
          <w:lang w:eastAsia="pl-PL"/>
        </w:rPr>
      </w:r>
    </w:p>
    <w:p>
      <w:pPr>
        <w:pStyle w:val="Normal"/>
        <w:widowControl/>
        <w:spacing w:lineRule="auto" w:line="276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Times New Roman" w:cs="Calibri" w:cstheme="minorHAnsi" w:ascii="Calibri" w:hAnsi="Calibri"/>
          <w:sz w:val="22"/>
          <w:szCs w:val="22"/>
          <w:lang w:eastAsia="pl-PL"/>
        </w:rPr>
      </w:r>
    </w:p>
    <w:p>
      <w:pPr>
        <w:pStyle w:val="Normal"/>
        <w:widowControl/>
        <w:spacing w:lineRule="auto" w:line="276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  <w:lang w:eastAsia="pl-PL"/>
        </w:rPr>
        <w:t>Załączniki do umowy:</w:t>
      </w:r>
    </w:p>
    <w:p>
      <w:pPr>
        <w:pStyle w:val="ListParagraph"/>
        <w:widowControl/>
        <w:numPr>
          <w:ilvl w:val="3"/>
          <w:numId w:val="17"/>
        </w:numPr>
        <w:spacing w:lineRule="auto" w:line="276"/>
        <w:ind w:hanging="284" w:left="284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  <w:lang w:eastAsia="pl-PL"/>
        </w:rPr>
        <w:t>Szczegółowy opis przedmiotu zamówienia</w:t>
      </w:r>
    </w:p>
    <w:p>
      <w:pPr>
        <w:pStyle w:val="ListParagraph"/>
        <w:widowControl/>
        <w:numPr>
          <w:ilvl w:val="3"/>
          <w:numId w:val="17"/>
        </w:numPr>
        <w:spacing w:lineRule="auto" w:line="276"/>
        <w:ind w:hanging="284" w:left="284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  <w:lang w:eastAsia="pl-PL"/>
        </w:rPr>
        <w:t>Oferta złożona przez Wykonawcę</w:t>
      </w:r>
    </w:p>
    <w:p>
      <w:pPr>
        <w:pStyle w:val="ListParagraph"/>
        <w:widowControl/>
        <w:numPr>
          <w:ilvl w:val="3"/>
          <w:numId w:val="17"/>
        </w:numPr>
        <w:spacing w:lineRule="auto" w:line="276"/>
        <w:ind w:hanging="284" w:left="284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  <w:lang w:eastAsia="pl-PL"/>
        </w:rPr>
        <w:t>Obowiązki informacyjne beneficjenta</w:t>
      </w:r>
    </w:p>
    <w:p>
      <w:pPr>
        <w:pStyle w:val="ListParagraph"/>
        <w:widowControl/>
        <w:numPr>
          <w:ilvl w:val="3"/>
          <w:numId w:val="17"/>
        </w:numPr>
        <w:spacing w:lineRule="auto" w:line="276"/>
        <w:ind w:hanging="284" w:left="284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  <w:lang w:eastAsia="pl-PL"/>
        </w:rPr>
        <w:t>Zgoda na przetwarzanie danych osobowych udzielana przez osobę, której dane dotyczą</w:t>
      </w:r>
    </w:p>
    <w:p>
      <w:pPr>
        <w:pStyle w:val="ListParagraph"/>
        <w:widowControl/>
        <w:numPr>
          <w:ilvl w:val="3"/>
          <w:numId w:val="17"/>
        </w:numPr>
        <w:spacing w:lineRule="auto" w:line="276"/>
        <w:ind w:hanging="284" w:left="284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  <w:lang w:eastAsia="pl-PL"/>
        </w:rPr>
        <w:t>Klauzula informacyjna o przetwarzaniu danych osobowych</w:t>
      </w:r>
    </w:p>
    <w:p>
      <w:pPr>
        <w:pStyle w:val="ListParagraph"/>
        <w:widowControl/>
        <w:numPr>
          <w:ilvl w:val="3"/>
          <w:numId w:val="17"/>
        </w:numPr>
        <w:spacing w:lineRule="auto" w:line="276"/>
        <w:ind w:hanging="284" w:left="284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  <w:lang w:eastAsia="pl-PL"/>
        </w:rPr>
        <w:t>Druk sprawozdania</w:t>
      </w:r>
    </w:p>
    <w:p>
      <w:pPr>
        <w:pStyle w:val="Normal"/>
        <w:widowControl/>
        <w:spacing w:lineRule="auto" w:line="276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  <w:lang w:eastAsia="pl-PL"/>
        </w:rPr>
      </w:pPr>
      <w:r>
        <w:rPr>
          <w:rFonts w:eastAsia="Times New Roman" w:cs="Calibri" w:cstheme="minorHAnsi" w:ascii="Calibri" w:hAnsi="Calibri"/>
          <w:sz w:val="20"/>
          <w:szCs w:val="20"/>
          <w:lang w:eastAsia="pl-PL"/>
        </w:rPr>
      </w:r>
    </w:p>
    <w:p>
      <w:pPr>
        <w:pStyle w:val="Normal"/>
        <w:widowControl/>
        <w:suppressAutoHyphens w:val="false"/>
        <w:spacing w:lineRule="auto" w:line="276"/>
        <w:jc w:val="both"/>
        <w:rPr>
          <w:rFonts w:ascii="Calibri" w:hAnsi="Calibri" w:eastAsia="Times New Roman" w:cs="Calibri" w:asciiTheme="minorHAnsi" w:cstheme="minorHAnsi" w:hAnsiTheme="minorHAnsi"/>
          <w:kern w:val="0"/>
          <w:sz w:val="22"/>
          <w:szCs w:val="22"/>
          <w:lang w:eastAsia="pl-PL"/>
        </w:rPr>
      </w:pPr>
      <w:r>
        <w:rPr>
          <w:rFonts w:eastAsia="Times New Roman" w:cs="Calibri" w:cstheme="minorHAnsi" w:ascii="Calibri" w:hAnsi="Calibri"/>
          <w:kern w:val="0"/>
          <w:sz w:val="22"/>
          <w:szCs w:val="22"/>
          <w:lang w:eastAsia="pl-PL"/>
        </w:rPr>
      </w:r>
    </w:p>
    <w:p>
      <w:pPr>
        <w:pStyle w:val="Normal"/>
        <w:widowControl/>
        <w:suppressAutoHyphens w:val="false"/>
        <w:spacing w:lineRule="auto" w:line="276"/>
        <w:jc w:val="both"/>
        <w:rPr>
          <w:rFonts w:ascii="Calibri" w:hAnsi="Calibri" w:eastAsia="Times New Roman" w:cs="Calibri" w:asciiTheme="minorHAnsi" w:cstheme="minorHAnsi" w:hAnsiTheme="minorHAnsi"/>
          <w:kern w:val="0"/>
          <w:sz w:val="22"/>
          <w:szCs w:val="22"/>
          <w:lang w:eastAsia="pl-PL"/>
        </w:rPr>
      </w:pPr>
      <w:r>
        <w:rPr>
          <w:rFonts w:eastAsia="Times New Roman" w:cs="Calibri" w:cstheme="minorHAnsi" w:ascii="Calibri" w:hAnsi="Calibri"/>
          <w:kern w:val="0"/>
          <w:sz w:val="22"/>
          <w:szCs w:val="22"/>
          <w:lang w:eastAsia="pl-PL"/>
        </w:rPr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69"/>
        <w:gridCol w:w="1134"/>
        <w:gridCol w:w="3969"/>
      </w:tblGrid>
      <w:tr>
        <w:trPr>
          <w:trHeight w:val="680" w:hRule="atLeast"/>
        </w:trPr>
        <w:tc>
          <w:tcPr>
            <w:tcW w:w="396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kern w:val="0"/>
                <w:sz w:val="22"/>
                <w:szCs w:val="22"/>
                <w:lang w:eastAsia="pl-P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pl-PL"/>
              </w:rPr>
              <w:t>Zamawiający:</w:t>
            </w:r>
          </w:p>
        </w:tc>
        <w:tc>
          <w:tcPr>
            <w:tcW w:w="113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kern w:val="0"/>
                <w:sz w:val="22"/>
                <w:szCs w:val="22"/>
                <w:lang w:eastAsia="pl-PL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2"/>
                <w:szCs w:val="22"/>
                <w:lang w:eastAsia="pl-PL"/>
              </w:rPr>
            </w:r>
          </w:p>
        </w:tc>
        <w:tc>
          <w:tcPr>
            <w:tcW w:w="396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kern w:val="0"/>
                <w:sz w:val="22"/>
                <w:szCs w:val="22"/>
                <w:lang w:eastAsia="pl-P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pl-PL"/>
              </w:rPr>
              <w:t>Wykonawca:</w:t>
            </w:r>
          </w:p>
        </w:tc>
      </w:tr>
      <w:tr>
        <w:trPr>
          <w:trHeight w:val="680" w:hRule="atLeast"/>
        </w:trPr>
        <w:tc>
          <w:tcPr>
            <w:tcW w:w="396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76"/>
              <w:jc w:val="center"/>
              <w:rPr>
                <w:rFonts w:ascii="Calibri" w:hAnsi="Calibri" w:eastAsia="Times New Roman" w:cs="Calibri" w:asciiTheme="minorHAnsi" w:cstheme="minorHAnsi" w:hAnsi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113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/>
              <w:jc w:val="center"/>
              <w:rPr>
                <w:rFonts w:ascii="Calibri" w:hAnsi="Calibri" w:eastAsia="Times New Roman" w:cs="Calibri" w:asciiTheme="minorHAnsi" w:cstheme="minorHAnsi" w:hAnsi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2"/>
                <w:szCs w:val="22"/>
                <w:lang w:eastAsia="pl-PL"/>
              </w:rPr>
            </w:r>
          </w:p>
        </w:tc>
        <w:tc>
          <w:tcPr>
            <w:tcW w:w="396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76"/>
              <w:jc w:val="center"/>
              <w:rPr>
                <w:rFonts w:ascii="Calibri" w:hAnsi="Calibri" w:eastAsia="Times New Roman" w:cs="Calibri" w:asciiTheme="minorHAnsi" w:cstheme="minorHAnsi" w:hAnsi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eastAsia="pl-PL"/>
              </w:rPr>
              <w:t>………………………………………………………………</w:t>
            </w:r>
          </w:p>
        </w:tc>
      </w:tr>
      <w:tr>
        <w:trPr>
          <w:trHeight w:val="680" w:hRule="atLeast"/>
        </w:trPr>
        <w:tc>
          <w:tcPr>
            <w:tcW w:w="396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76"/>
              <w:jc w:val="center"/>
              <w:rPr>
                <w:rFonts w:ascii="Calibri" w:hAnsi="Calibri" w:eastAsia="Times New Roman" w:cs="Calibri" w:asciiTheme="minorHAnsi" w:cstheme="minorHAnsi" w:hAnsi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113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/>
              <w:jc w:val="center"/>
              <w:rPr>
                <w:rFonts w:ascii="Calibri" w:hAnsi="Calibri" w:eastAsia="Times New Roman" w:cs="Calibri" w:asciiTheme="minorHAnsi" w:cstheme="minorHAnsi" w:hAnsi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2"/>
                <w:szCs w:val="22"/>
                <w:lang w:eastAsia="pl-PL"/>
              </w:rPr>
            </w:r>
          </w:p>
        </w:tc>
        <w:tc>
          <w:tcPr>
            <w:tcW w:w="396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76"/>
              <w:jc w:val="center"/>
              <w:rPr>
                <w:rFonts w:ascii="Calibri" w:hAnsi="Calibri" w:eastAsia="Times New Roman" w:cs="Calibri" w:asciiTheme="minorHAnsi" w:cstheme="minorHAnsi" w:hAnsi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eastAsia="pl-PL"/>
              </w:rPr>
              <w:t>………………………………………………………………</w:t>
            </w:r>
          </w:p>
        </w:tc>
      </w:tr>
    </w:tbl>
    <w:p>
      <w:pPr>
        <w:pStyle w:val="Tekst"/>
        <w:spacing w:lineRule="auto" w:line="276" w:before="0" w:after="0"/>
        <w:ind w:hanging="0" w:left="4536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417" w:right="1417" w:gutter="0" w:header="708" w:top="1417" w:footer="386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ind w:hanging="0" w:left="-1134" w:right="-1134"/>
      <w:jc w:val="center"/>
      <w:rPr>
        <w:rFonts w:ascii="Calibri" w:hAnsi="Calibri" w:cs="Calibri" w:asciiTheme="minorHAnsi" w:cstheme="minorHAnsi" w:hAnsiTheme="minorHAnsi"/>
        <w:sz w:val="12"/>
        <w:szCs w:val="12"/>
      </w:rPr>
    </w:pPr>
    <w:r>
      <w:rPr>
        <w:rFonts w:cs="Calibri" w:cstheme="minorHAnsi" w:ascii="Calibri" w:hAnsi="Calibri"/>
        <w:sz w:val="12"/>
        <w:szCs w:val="12"/>
      </w:rPr>
    </w:r>
  </w:p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ind w:hanging="0" w:left="-1134" w:right="-1134"/>
      <w:jc w:val="center"/>
      <w:rPr>
        <w:b w:val="false"/>
        <w:bCs w:val="false"/>
        <w:sz w:val="18"/>
        <w:szCs w:val="18"/>
      </w:rPr>
    </w:pPr>
    <w:r>
      <w:rPr>
        <w:rFonts w:cs="Calibri" w:ascii="Calibri" w:hAnsi="Calibri" w:asciiTheme="minorHAnsi" w:cstheme="minorHAnsi" w:hAnsiTheme="minorHAnsi"/>
        <w:b w:val="false"/>
        <w:bCs w:val="false"/>
        <w:sz w:val="18"/>
        <w:szCs w:val="18"/>
      </w:rPr>
      <w:t xml:space="preserve">Projekt realizowany i współfinansowany </w:t>
    </w:r>
    <w:r>
      <w:rPr>
        <w:rFonts w:cs="Calibri" w:ascii="Calibri" w:hAnsi="Calibri"/>
        <w:b w:val="false"/>
        <w:bCs w:val="false"/>
        <w:i w:val="false"/>
        <w:caps w:val="false"/>
        <w:smallCaps w:val="false"/>
        <w:color w:val="000000"/>
        <w:spacing w:val="0"/>
        <w:sz w:val="18"/>
        <w:szCs w:val="18"/>
      </w:rPr>
      <w:t>ze środków Unii Europejskiej w ramach programu Fundusze Europejskie dla Kujaw i Pomorza na lata 2021-2027, Oś priorytetowa 8 Fundusze europejskie na wsparcie w obszarze rynku pracy, edukacji i włączenia społecznego, Działanie 08.25 Usługi wsparcia rodziny i pieczy zastępczej.</w:t>
    </w:r>
    <w:r>
      <w:rPr>
        <w:rFonts w:cs="Calibri" w:ascii="Calibri" w:hAnsi="Calibri" w:asciiTheme="minorHAnsi" w:cstheme="minorHAnsi" w:hAnsiTheme="minorHAnsi"/>
        <w:b w:val="false"/>
        <w:bCs w:val="false"/>
        <w:sz w:val="18"/>
        <w:szCs w:val="18"/>
      </w:rPr>
      <w:t xml:space="preserve">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ind w:hanging="0" w:left="-1134" w:right="-1134"/>
      <w:jc w:val="center"/>
      <w:rPr>
        <w:rFonts w:ascii="Calibri" w:hAnsi="Calibri" w:cs="Calibri" w:asciiTheme="minorHAnsi" w:cstheme="minorHAnsi" w:hAnsiTheme="minorHAnsi"/>
        <w:sz w:val="12"/>
        <w:szCs w:val="12"/>
      </w:rPr>
    </w:pPr>
    <w:r>
      <w:rPr>
        <w:rFonts w:cs="Calibri" w:cstheme="minorHAnsi" w:ascii="Calibri" w:hAnsi="Calibri"/>
        <w:sz w:val="12"/>
        <w:szCs w:val="12"/>
      </w:rPr>
    </w:r>
  </w:p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ind w:hanging="0" w:left="-1134" w:right="-1134"/>
      <w:jc w:val="center"/>
      <w:rPr>
        <w:b w:val="false"/>
        <w:bCs w:val="false"/>
        <w:sz w:val="18"/>
        <w:szCs w:val="18"/>
      </w:rPr>
    </w:pPr>
    <w:r>
      <w:rPr>
        <w:rFonts w:cs="Calibri" w:ascii="Calibri" w:hAnsi="Calibri" w:asciiTheme="minorHAnsi" w:cstheme="minorHAnsi" w:hAnsiTheme="minorHAnsi"/>
        <w:b w:val="false"/>
        <w:bCs w:val="false"/>
        <w:sz w:val="18"/>
        <w:szCs w:val="18"/>
      </w:rPr>
      <w:t xml:space="preserve">Projekt realizowany i współfinansowany </w:t>
    </w:r>
    <w:r>
      <w:rPr>
        <w:rFonts w:cs="Calibri" w:ascii="Calibri" w:hAnsi="Calibri"/>
        <w:b w:val="false"/>
        <w:bCs w:val="false"/>
        <w:i w:val="false"/>
        <w:caps w:val="false"/>
        <w:smallCaps w:val="false"/>
        <w:color w:val="000000"/>
        <w:spacing w:val="0"/>
        <w:sz w:val="18"/>
        <w:szCs w:val="18"/>
      </w:rPr>
      <w:t>ze środków Unii Europejskiej w ramach programu Fundusze Europejskie dla Kujaw i Pomorza na lata 2021-2027, Oś priorytetowa 8 Fundusze europejskie na wsparcie w obszarze rynku pracy, edukacji i włączenia społecznego, Działanie 08.25 Usługi wsparcia rodziny i pieczy zastępczej.</w:t>
    </w:r>
    <w:r>
      <w:rPr>
        <w:rFonts w:cs="Calibri" w:ascii="Calibri" w:hAnsi="Calibri" w:asciiTheme="minorHAnsi" w:cstheme="minorHAnsi" w:hAnsiTheme="minorHAnsi"/>
        <w:b w:val="false"/>
        <w:bCs w:val="false"/>
        <w:sz w:val="18"/>
        <w:szCs w:val="18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single" w:sz="4" w:space="1" w:color="000000"/>
      </w:pBdr>
      <w:rPr>
        <w:sz w:val="4"/>
        <w:szCs w:val="4"/>
      </w:rPr>
    </w:pPr>
    <w:r>
      <w:rPr>
        <w:sz w:val="4"/>
        <w:szCs w:val="4"/>
      </w:rPr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336550" cy="2183130"/>
              <wp:effectExtent l="0" t="0" r="0" b="0"/>
              <wp:wrapNone/>
              <wp:docPr id="1" name="Prostokąt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6600" cy="218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sdt>
                          <w:sdtPr>
                            <w:docPartObj>
                              <w:docPartGallery w:val="Page Numbers (Margins)"/>
                              <w:docPartUnique w:val="true"/>
                            </w:docPartObj>
                            <w:id w:val="2093321936"/>
                          </w:sdtPr>
                          <w:sdtContent>
                            <w:p>
                              <w:pPr>
                                <w:pStyle w:val="Footer"/>
                                <w:rPr>
                                  <w:rFonts w:ascii="Calibri" w:hAnsi="Calibri" w:eastAsia="" w:cs="" w:asciiTheme="minorHAnsi" w:cstheme="majorBidi" w:eastAsiaTheme="majorEastAsia" w:hAnsi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" w:cs="" w:cstheme="majorBidi" w:eastAsiaTheme="majorEastAsia" w:ascii="Calibri" w:hAnsi="Calibri"/>
                                  <w:color w:val="000000"/>
                                  <w:sz w:val="20"/>
                                  <w:szCs w:val="20"/>
                                </w:rPr>
                              </w:r>
                            </w:p>
                          </w:sdtContent>
                        </w:sdt>
                      </w:txbxContent>
                    </wps:txbx>
                    <wps:bodyPr anchor="ctr" vert="vert27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1" path="m0,0l-2147483645,0l-2147483645,-2147483646l0,-2147483646xe" stroked="f" o:allowincell="f" style="position:absolute;margin-left:22.15pt;margin-top:523.1pt;width:26.45pt;height:171.85pt;mso-wrap-style:none;v-text-anchor:middle;mso-position-horizontal:center;mso-position-horizontal-relative:page;mso-position-vertical:bottom;mso-position-vertical-relative:margin">
              <v:fill o:detectmouseclick="t" on="false"/>
              <v:stroke color="#3465a4" joinstyle="round" endcap="flat"/>
              <v:textbox style="mso-layout-flow-alt:bottom-to-top">
                <w:txbxContent>
                  <w:sdt>
                    <w:sdtPr>
                      <w:docPartObj>
                        <w:docPartGallery w:val="Page Numbers (Margins)"/>
                        <w:docPartUnique w:val="true"/>
                      </w:docPartObj>
                      <w:id w:val="2093321936"/>
                    </w:sdtPr>
                    <w:sdtContent>
                      <w:p>
                        <w:pPr>
                          <w:pStyle w:val="Footer"/>
                          <w:rPr>
                            <w:rFonts w:ascii="Calibri" w:hAnsi="Calibri" w:eastAsia="" w:cs="" w:asciiTheme="minorHAnsi" w:cstheme="majorBidi" w:eastAsiaTheme="majorEastAsia" w:hAnsi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" w:cs="" w:cstheme="majorBidi" w:eastAsiaTheme="majorEastAsia" w:ascii="Calibri" w:hAnsi="Calibri"/>
                            <w:color w:val="000000"/>
                            <w:sz w:val="20"/>
                            <w:szCs w:val="20"/>
                          </w:rPr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26">
          <wp:simplePos x="0" y="0"/>
          <wp:positionH relativeFrom="column">
            <wp:posOffset>-1270</wp:posOffset>
          </wp:positionH>
          <wp:positionV relativeFrom="paragraph">
            <wp:posOffset>-396240</wp:posOffset>
          </wp:positionV>
          <wp:extent cx="5813425" cy="752475"/>
          <wp:effectExtent l="0" t="0" r="0" b="0"/>
          <wp:wrapTopAndBottom/>
          <wp:docPr id="2" name="Obraz 2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134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pBdr>
        <w:bottom w:val="single" w:sz="4" w:space="1" w:color="000000"/>
      </w:pBdr>
      <w:rPr>
        <w:sz w:val="4"/>
        <w:szCs w:val="4"/>
      </w:rPr>
    </w:pPr>
    <w:r>
      <w:rPr>
        <w:sz w:val="4"/>
        <w:szCs w:val="4"/>
      </w:rPr>
    </w:r>
  </w:p>
  <w:p>
    <w:pPr>
      <w:pStyle w:val="Header"/>
      <w:pBdr>
        <w:bottom w:val="single" w:sz="4" w:space="1" w:color="000000"/>
      </w:pBdr>
      <w:rPr>
        <w:sz w:val="4"/>
        <w:szCs w:val="4"/>
      </w:rPr>
    </w:pPr>
    <w:r>
      <w:rPr>
        <w:sz w:val="4"/>
        <w:szCs w:val="4"/>
      </w:rPr>
    </w:r>
  </w:p>
  <w:p>
    <w:pPr>
      <w:pStyle w:val="Header"/>
      <w:pBdr>
        <w:bottom w:val="single" w:sz="4" w:space="1" w:color="000000"/>
      </w:pBdr>
      <w:rPr>
        <w:sz w:val="4"/>
        <w:szCs w:val="4"/>
      </w:rPr>
    </w:pPr>
    <w:r>
      <w:rPr>
        <w:sz w:val="4"/>
        <w:szCs w:val="4"/>
      </w:rPr>
    </w:r>
  </w:p>
  <w:p>
    <w:pPr>
      <w:pStyle w:val="Header"/>
      <w:pBdr>
        <w:bottom w:val="single" w:sz="4" w:space="1" w:color="000000"/>
      </w:pBdr>
      <w:rPr>
        <w:sz w:val="4"/>
        <w:szCs w:val="4"/>
      </w:rPr>
    </w:pPr>
    <w:r>
      <w:rPr>
        <w:sz w:val="4"/>
        <w:szCs w:val="4"/>
      </w:rPr>
    </w:r>
  </w:p>
  <w:p>
    <w:pPr>
      <w:pStyle w:val="Header"/>
      <w:pBdr>
        <w:bottom w:val="single" w:sz="4" w:space="1" w:color="000000"/>
      </w:pBdr>
      <w:rPr>
        <w:sz w:val="4"/>
        <w:szCs w:val="4"/>
      </w:rPr>
    </w:pPr>
    <w:r>
      <w:rPr>
        <w:sz w:val="4"/>
        <w:szCs w:val="4"/>
      </w:rPr>
    </w:r>
  </w:p>
  <w:p>
    <w:pPr>
      <w:pStyle w:val="Header"/>
      <w:pBdr>
        <w:bottom w:val="single" w:sz="4" w:space="1" w:color="000000"/>
      </w:pBdr>
      <w:rPr>
        <w:sz w:val="4"/>
        <w:szCs w:val="4"/>
      </w:rPr>
    </w:pPr>
    <w:r>
      <w:rPr>
        <w:sz w:val="4"/>
        <w:szCs w:val="4"/>
      </w:rPr>
    </w:r>
  </w:p>
  <w:p>
    <w:pPr>
      <w:pStyle w:val="Header"/>
      <w:pBdr>
        <w:bottom w:val="single" w:sz="4" w:space="1" w:color="000000"/>
      </w:pBdr>
      <w:rPr>
        <w:sz w:val="4"/>
        <w:szCs w:val="4"/>
      </w:rPr>
    </w:pPr>
    <w:r>
      <w:rPr>
        <w:sz w:val="4"/>
        <w:szCs w:val="4"/>
      </w:rPr>
    </w:r>
  </w:p>
  <w:p>
    <w:pPr>
      <w:pStyle w:val="Header"/>
      <w:pBdr>
        <w:bottom w:val="single" w:sz="4" w:space="1" w:color="000000"/>
      </w:pBdr>
      <w:rPr>
        <w:sz w:val="4"/>
        <w:szCs w:val="4"/>
      </w:rPr>
    </w:pPr>
    <w:r>
      <w:rPr>
        <w:sz w:val="4"/>
        <w:szCs w:val="4"/>
      </w:rPr>
    </w:r>
  </w:p>
  <w:p>
    <w:pPr>
      <w:pStyle w:val="Header"/>
      <w:pBdr>
        <w:bottom w:val="single" w:sz="4" w:space="1" w:color="000000"/>
      </w:pBdr>
      <w:rPr>
        <w:sz w:val="4"/>
        <w:szCs w:val="4"/>
      </w:rPr>
    </w:pPr>
    <w:r>
      <w:rPr>
        <w:sz w:val="4"/>
        <w:szCs w:val="4"/>
      </w:rPr>
    </w:r>
  </w:p>
  <w:p>
    <w:pPr>
      <w:pStyle w:val="Header"/>
      <w:pBdr>
        <w:bottom w:val="single" w:sz="4" w:space="1" w:color="000000"/>
      </w:pBdr>
      <w:rPr>
        <w:sz w:val="4"/>
        <w:szCs w:val="4"/>
      </w:rPr>
    </w:pPr>
    <w:r>
      <w:rPr>
        <w:sz w:val="4"/>
        <w:szCs w:val="4"/>
      </w:rPr>
    </w:r>
  </w:p>
  <w:p>
    <w:pPr>
      <w:pStyle w:val="Header"/>
      <w:pBdr>
        <w:bottom w:val="single" w:sz="4" w:space="1" w:color="000000"/>
      </w:pBdr>
      <w:rPr>
        <w:sz w:val="4"/>
        <w:szCs w:val="4"/>
      </w:rPr>
    </w:pPr>
    <w:r>
      <w:rPr>
        <w:sz w:val="4"/>
        <w:szCs w:val="4"/>
      </w:rPr>
    </w:r>
  </w:p>
  <w:p>
    <w:pPr>
      <w:pStyle w:val="Header"/>
      <w:pBdr>
        <w:bottom w:val="single" w:sz="4" w:space="1" w:color="000000"/>
      </w:pBdr>
      <w:rPr>
        <w:sz w:val="4"/>
        <w:szCs w:val="4"/>
      </w:rPr>
    </w:pPr>
    <w:r>
      <w:rPr>
        <w:sz w:val="4"/>
        <w:szCs w:val="4"/>
      </w:rPr>
    </w:r>
  </w:p>
  <w:p>
    <w:pPr>
      <w:pStyle w:val="Header"/>
      <w:pBdr>
        <w:bottom w:val="single" w:sz="4" w:space="1" w:color="000000"/>
      </w:pBdr>
      <w:rPr>
        <w:sz w:val="4"/>
        <w:szCs w:val="4"/>
      </w:rPr>
    </w:pPr>
    <w:r>
      <w:rPr>
        <w:sz w:val="4"/>
        <w:szCs w:val="4"/>
      </w:rPr>
    </w:r>
  </w:p>
  <w:p>
    <w:pPr>
      <w:pStyle w:val="Header"/>
      <w:pBdr>
        <w:bottom w:val="single" w:sz="4" w:space="1" w:color="000000"/>
      </w:pBdr>
      <w:rPr>
        <w:sz w:val="4"/>
        <w:szCs w:val="4"/>
      </w:rPr>
    </w:pPr>
    <w:r>
      <w:rPr>
        <w:sz w:val="4"/>
        <w:szCs w:val="4"/>
      </w:rPr>
    </w:r>
  </w:p>
  <w:p>
    <w:pPr>
      <w:pStyle w:val="Header"/>
      <w:pBdr>
        <w:bottom w:val="single" w:sz="4" w:space="1" w:color="000000"/>
      </w:pBdr>
      <w:rPr>
        <w:sz w:val="4"/>
        <w:szCs w:val="4"/>
      </w:rPr>
    </w:pPr>
    <w:r>
      <w:rPr>
        <w:sz w:val="4"/>
        <w:szCs w:val="4"/>
      </w:rPr>
    </w:r>
  </w:p>
  <w:p>
    <w:pPr>
      <w:pStyle w:val="Header"/>
      <w:pBdr>
        <w:bottom w:val="single" w:sz="4" w:space="1" w:color="000000"/>
      </w:pBdr>
      <w:rPr>
        <w:sz w:val="4"/>
        <w:szCs w:val="4"/>
      </w:rPr>
    </w:pPr>
    <w:r>
      <w:rPr>
        <w:sz w:val="4"/>
        <w:szCs w:val="4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single" w:sz="4" w:space="1" w:color="000000"/>
      </w:pBdr>
      <w:rPr>
        <w:sz w:val="4"/>
        <w:szCs w:val="4"/>
      </w:rPr>
    </w:pPr>
    <w:r>
      <w:rPr>
        <w:sz w:val="4"/>
        <w:szCs w:val="4"/>
      </w:rPr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336550" cy="2183130"/>
              <wp:effectExtent l="0" t="0" r="0" b="0"/>
              <wp:wrapNone/>
              <wp:docPr id="3" name="Prostokąt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6600" cy="218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sdt>
                          <w:sdtPr>
                            <w:docPartObj>
                              <w:docPartGallery w:val="Page Numbers (Margins)"/>
                              <w:docPartUnique w:val="true"/>
                            </w:docPartObj>
                            <w:id w:val="2093321936"/>
                          </w:sdtPr>
                          <w:sdtContent>
                            <w:p>
                              <w:pPr>
                                <w:pStyle w:val="Footer"/>
                                <w:rPr>
                                  <w:rFonts w:ascii="Calibri" w:hAnsi="Calibri" w:eastAsia="" w:cs="" w:asciiTheme="minorHAnsi" w:cstheme="majorBidi" w:eastAsiaTheme="majorEastAsia" w:hAnsi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" w:cs="" w:cstheme="majorBidi" w:eastAsiaTheme="majorEastAsia" w:ascii="Calibri" w:hAnsi="Calibri"/>
                                  <w:color w:val="000000"/>
                                  <w:sz w:val="20"/>
                                  <w:szCs w:val="20"/>
                                </w:rPr>
                              </w:r>
                            </w:p>
                          </w:sdtContent>
                        </w:sdt>
                      </w:txbxContent>
                    </wps:txbx>
                    <wps:bodyPr anchor="ctr" vert="vert27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1" path="m0,0l-2147483645,0l-2147483645,-2147483646l0,-2147483646xe" stroked="f" o:allowincell="f" style="position:absolute;margin-left:22.15pt;margin-top:523.1pt;width:26.45pt;height:171.85pt;mso-wrap-style:none;v-text-anchor:middle;mso-position-horizontal:center;mso-position-horizontal-relative:page;mso-position-vertical:bottom;mso-position-vertical-relative:margin">
              <v:fill o:detectmouseclick="t" on="false"/>
              <v:stroke color="#3465a4" joinstyle="round" endcap="flat"/>
              <v:textbox style="mso-layout-flow-alt:bottom-to-top">
                <w:txbxContent>
                  <w:sdt>
                    <w:sdtPr>
                      <w:docPartObj>
                        <w:docPartGallery w:val="Page Numbers (Margins)"/>
                        <w:docPartUnique w:val="true"/>
                      </w:docPartObj>
                      <w:id w:val="2093321936"/>
                    </w:sdtPr>
                    <w:sdtContent>
                      <w:p>
                        <w:pPr>
                          <w:pStyle w:val="Footer"/>
                          <w:rPr>
                            <w:rFonts w:ascii="Calibri" w:hAnsi="Calibri" w:eastAsia="" w:cs="" w:asciiTheme="minorHAnsi" w:cstheme="majorBidi" w:eastAsiaTheme="majorEastAsia" w:hAnsi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" w:cs="" w:cstheme="majorBidi" w:eastAsiaTheme="majorEastAsia" w:ascii="Calibri" w:hAnsi="Calibri"/>
                            <w:color w:val="000000"/>
                            <w:sz w:val="20"/>
                            <w:szCs w:val="20"/>
                          </w:rPr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26">
          <wp:simplePos x="0" y="0"/>
          <wp:positionH relativeFrom="column">
            <wp:posOffset>-1270</wp:posOffset>
          </wp:positionH>
          <wp:positionV relativeFrom="paragraph">
            <wp:posOffset>-396240</wp:posOffset>
          </wp:positionV>
          <wp:extent cx="5813425" cy="752475"/>
          <wp:effectExtent l="0" t="0" r="0" b="0"/>
          <wp:wrapTopAndBottom/>
          <wp:docPr id="4" name="Obraz 2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2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134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pBdr>
        <w:bottom w:val="single" w:sz="4" w:space="1" w:color="000000"/>
      </w:pBdr>
      <w:rPr>
        <w:sz w:val="4"/>
        <w:szCs w:val="4"/>
      </w:rPr>
    </w:pPr>
    <w:r>
      <w:rPr>
        <w:sz w:val="4"/>
        <w:szCs w:val="4"/>
      </w:rPr>
    </w:r>
  </w:p>
  <w:p>
    <w:pPr>
      <w:pStyle w:val="Header"/>
      <w:pBdr>
        <w:bottom w:val="single" w:sz="4" w:space="1" w:color="000000"/>
      </w:pBdr>
      <w:rPr>
        <w:sz w:val="4"/>
        <w:szCs w:val="4"/>
      </w:rPr>
    </w:pPr>
    <w:r>
      <w:rPr>
        <w:sz w:val="4"/>
        <w:szCs w:val="4"/>
      </w:rPr>
    </w:r>
  </w:p>
  <w:p>
    <w:pPr>
      <w:pStyle w:val="Header"/>
      <w:pBdr>
        <w:bottom w:val="single" w:sz="4" w:space="1" w:color="000000"/>
      </w:pBdr>
      <w:rPr>
        <w:sz w:val="4"/>
        <w:szCs w:val="4"/>
      </w:rPr>
    </w:pPr>
    <w:r>
      <w:rPr>
        <w:sz w:val="4"/>
        <w:szCs w:val="4"/>
      </w:rPr>
    </w:r>
  </w:p>
  <w:p>
    <w:pPr>
      <w:pStyle w:val="Header"/>
      <w:pBdr>
        <w:bottom w:val="single" w:sz="4" w:space="1" w:color="000000"/>
      </w:pBdr>
      <w:rPr>
        <w:sz w:val="4"/>
        <w:szCs w:val="4"/>
      </w:rPr>
    </w:pPr>
    <w:r>
      <w:rPr>
        <w:sz w:val="4"/>
        <w:szCs w:val="4"/>
      </w:rPr>
    </w:r>
  </w:p>
  <w:p>
    <w:pPr>
      <w:pStyle w:val="Header"/>
      <w:pBdr>
        <w:bottom w:val="single" w:sz="4" w:space="1" w:color="000000"/>
      </w:pBdr>
      <w:rPr>
        <w:sz w:val="4"/>
        <w:szCs w:val="4"/>
      </w:rPr>
    </w:pPr>
    <w:r>
      <w:rPr>
        <w:sz w:val="4"/>
        <w:szCs w:val="4"/>
      </w:rPr>
    </w:r>
  </w:p>
  <w:p>
    <w:pPr>
      <w:pStyle w:val="Header"/>
      <w:pBdr>
        <w:bottom w:val="single" w:sz="4" w:space="1" w:color="000000"/>
      </w:pBdr>
      <w:rPr>
        <w:sz w:val="4"/>
        <w:szCs w:val="4"/>
      </w:rPr>
    </w:pPr>
    <w:r>
      <w:rPr>
        <w:sz w:val="4"/>
        <w:szCs w:val="4"/>
      </w:rPr>
    </w:r>
  </w:p>
  <w:p>
    <w:pPr>
      <w:pStyle w:val="Header"/>
      <w:pBdr>
        <w:bottom w:val="single" w:sz="4" w:space="1" w:color="000000"/>
      </w:pBdr>
      <w:rPr>
        <w:sz w:val="4"/>
        <w:szCs w:val="4"/>
      </w:rPr>
    </w:pPr>
    <w:r>
      <w:rPr>
        <w:sz w:val="4"/>
        <w:szCs w:val="4"/>
      </w:rPr>
    </w:r>
  </w:p>
  <w:p>
    <w:pPr>
      <w:pStyle w:val="Header"/>
      <w:pBdr>
        <w:bottom w:val="single" w:sz="4" w:space="1" w:color="000000"/>
      </w:pBdr>
      <w:rPr>
        <w:sz w:val="4"/>
        <w:szCs w:val="4"/>
      </w:rPr>
    </w:pPr>
    <w:r>
      <w:rPr>
        <w:sz w:val="4"/>
        <w:szCs w:val="4"/>
      </w:rPr>
    </w:r>
  </w:p>
  <w:p>
    <w:pPr>
      <w:pStyle w:val="Header"/>
      <w:pBdr>
        <w:bottom w:val="single" w:sz="4" w:space="1" w:color="000000"/>
      </w:pBdr>
      <w:rPr>
        <w:sz w:val="4"/>
        <w:szCs w:val="4"/>
      </w:rPr>
    </w:pPr>
    <w:r>
      <w:rPr>
        <w:sz w:val="4"/>
        <w:szCs w:val="4"/>
      </w:rPr>
    </w:r>
  </w:p>
  <w:p>
    <w:pPr>
      <w:pStyle w:val="Header"/>
      <w:pBdr>
        <w:bottom w:val="single" w:sz="4" w:space="1" w:color="000000"/>
      </w:pBdr>
      <w:rPr>
        <w:sz w:val="4"/>
        <w:szCs w:val="4"/>
      </w:rPr>
    </w:pPr>
    <w:r>
      <w:rPr>
        <w:sz w:val="4"/>
        <w:szCs w:val="4"/>
      </w:rPr>
    </w:r>
  </w:p>
  <w:p>
    <w:pPr>
      <w:pStyle w:val="Header"/>
      <w:pBdr>
        <w:bottom w:val="single" w:sz="4" w:space="1" w:color="000000"/>
      </w:pBdr>
      <w:rPr>
        <w:sz w:val="4"/>
        <w:szCs w:val="4"/>
      </w:rPr>
    </w:pPr>
    <w:r>
      <w:rPr>
        <w:sz w:val="4"/>
        <w:szCs w:val="4"/>
      </w:rPr>
    </w:r>
  </w:p>
  <w:p>
    <w:pPr>
      <w:pStyle w:val="Header"/>
      <w:pBdr>
        <w:bottom w:val="single" w:sz="4" w:space="1" w:color="000000"/>
      </w:pBdr>
      <w:rPr>
        <w:sz w:val="4"/>
        <w:szCs w:val="4"/>
      </w:rPr>
    </w:pPr>
    <w:r>
      <w:rPr>
        <w:sz w:val="4"/>
        <w:szCs w:val="4"/>
      </w:rPr>
    </w:r>
  </w:p>
  <w:p>
    <w:pPr>
      <w:pStyle w:val="Header"/>
      <w:pBdr>
        <w:bottom w:val="single" w:sz="4" w:space="1" w:color="000000"/>
      </w:pBdr>
      <w:rPr>
        <w:sz w:val="4"/>
        <w:szCs w:val="4"/>
      </w:rPr>
    </w:pPr>
    <w:r>
      <w:rPr>
        <w:sz w:val="4"/>
        <w:szCs w:val="4"/>
      </w:rPr>
    </w:r>
  </w:p>
  <w:p>
    <w:pPr>
      <w:pStyle w:val="Header"/>
      <w:pBdr>
        <w:bottom w:val="single" w:sz="4" w:space="1" w:color="000000"/>
      </w:pBdr>
      <w:rPr>
        <w:sz w:val="4"/>
        <w:szCs w:val="4"/>
      </w:rPr>
    </w:pPr>
    <w:r>
      <w:rPr>
        <w:sz w:val="4"/>
        <w:szCs w:val="4"/>
      </w:rPr>
    </w:r>
  </w:p>
  <w:p>
    <w:pPr>
      <w:pStyle w:val="Header"/>
      <w:pBdr>
        <w:bottom w:val="single" w:sz="4" w:space="1" w:color="000000"/>
      </w:pBdr>
      <w:rPr>
        <w:sz w:val="4"/>
        <w:szCs w:val="4"/>
      </w:rPr>
    </w:pPr>
    <w:r>
      <w:rPr>
        <w:sz w:val="4"/>
        <w:szCs w:val="4"/>
      </w:rPr>
    </w:r>
  </w:p>
  <w:p>
    <w:pPr>
      <w:pStyle w:val="Header"/>
      <w:pBdr>
        <w:bottom w:val="single" w:sz="4" w:space="1" w:color="000000"/>
      </w:pBdr>
      <w:rPr>
        <w:sz w:val="4"/>
        <w:szCs w:val="4"/>
      </w:rPr>
    </w:pPr>
    <w:r>
      <w:rPr>
        <w:sz w:val="4"/>
        <w:szCs w:val="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right"/>
      <w:pPr>
        <w:tabs>
          <w:tab w:val="num" w:pos="0"/>
        </w:tabs>
        <w:ind w:left="92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243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/>
    </w:lvl>
    <w:lvl w:ilvl="2">
      <w:start w:val="1"/>
      <w:numFmt w:val="decimal"/>
      <w:lvlText w:val="%3)"/>
      <w:lvlJc w:val="left"/>
      <w:pPr>
        <w:tabs>
          <w:tab w:val="num" w:pos="0"/>
        </w:tabs>
        <w:ind w:left="1173" w:hanging="180"/>
      </w:pPr>
      <w:rPr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/>
    </w:lvl>
  </w:abstractNum>
  <w:abstractNum w:abstractNumId="6">
    <w:lvl w:ilvl="0">
      <w:start w:val="1"/>
      <w:numFmt w:val="decimal"/>
      <w:lvlText w:val="%1."/>
      <w:lvlJc w:val="right"/>
      <w:pPr>
        <w:tabs>
          <w:tab w:val="num" w:pos="0"/>
        </w:tabs>
        <w:ind w:left="78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2"/>
      <w:numFmt w:val="decimal"/>
      <w:lvlText w:val="%1."/>
      <w:lvlJc w:val="left"/>
      <w:pPr>
        <w:tabs>
          <w:tab w:val="num" w:pos="36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false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597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31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75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1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7" w:hanging="180"/>
      </w:pPr>
      <w:rPr/>
    </w:lvl>
  </w:abstractNum>
  <w:abstractNum w:abstractNumId="15">
    <w:lvl w:ilvl="0">
      <w:start w:val="1"/>
      <w:numFmt w:val="decimal"/>
      <w:lvlText w:val="%1."/>
      <w:lvlJc w:val="right"/>
      <w:pPr>
        <w:tabs>
          <w:tab w:val="num" w:pos="0"/>
        </w:tabs>
        <w:ind w:left="597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31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75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1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7" w:hanging="180"/>
      </w:pPr>
      <w:rPr/>
    </w:lvl>
  </w:abstractNum>
  <w:abstractNum w:abstractNumId="1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7"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false"/>
        <w:rFonts w:ascii="Calibri" w:hAnsi="Calibri" w:eastAsia="Times New Roman" w:cs="Calibri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11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31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451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171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891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611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331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051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771" w:hanging="180"/>
      </w:pPr>
      <w:rPr/>
    </w:lvl>
  </w:abstractNum>
  <w:abstractNum w:abstractNumId="19"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sz w:val="20"/>
        <w:i w:val="false"/>
        <w:b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0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1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22"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b780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2"/>
      <w:sz w:val="24"/>
      <w:szCs w:val="24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da276d"/>
    <w:rPr/>
  </w:style>
  <w:style w:type="character" w:styleId="StopkaZnak" w:customStyle="1">
    <w:name w:val="Stopka Znak"/>
    <w:basedOn w:val="DefaultParagraphFont"/>
    <w:uiPriority w:val="99"/>
    <w:qFormat/>
    <w:rsid w:val="00da276d"/>
    <w:rPr/>
  </w:style>
  <w:style w:type="character" w:styleId="TekstdymkaZnak" w:customStyle="1">
    <w:name w:val="Tekst dymka Znak"/>
    <w:basedOn w:val="DefaultParagraphFont"/>
    <w:uiPriority w:val="99"/>
    <w:semiHidden/>
    <w:qFormat/>
    <w:rsid w:val="00194e98"/>
    <w:rPr>
      <w:rFonts w:ascii="Segoe UI" w:hAnsi="Segoe UI" w:cs="Segoe UI"/>
      <w:sz w:val="18"/>
      <w:szCs w:val="18"/>
    </w:rPr>
  </w:style>
  <w:style w:type="character" w:styleId="InternetLink">
    <w:name w:val="Internet Link"/>
    <w:unhideWhenUsed/>
    <w:qFormat/>
    <w:rsid w:val="00b177d8"/>
    <w:rPr>
      <w:color w:val="0000FF"/>
      <w:u w:val="single"/>
    </w:rPr>
  </w:style>
  <w:style w:type="character" w:styleId="TekstprzypisudolnegoZnak" w:customStyle="1">
    <w:name w:val="Tekst przypisu dolnego Znak"/>
    <w:basedOn w:val="DefaultParagraphFont"/>
    <w:uiPriority w:val="99"/>
    <w:qFormat/>
    <w:locked/>
    <w:rsid w:val="00e53485"/>
    <w:rPr>
      <w:rFonts w:ascii="Times New Roman" w:hAnsi="Times New Roman" w:eastAsia="Calibri" w:cs="Times New Roman"/>
      <w:sz w:val="20"/>
      <w:szCs w:val="20"/>
    </w:rPr>
  </w:style>
  <w:style w:type="character" w:styleId="TekstprzypisudolnegoZnak1" w:customStyle="1">
    <w:name w:val="Tekst przypisu dolnego Znak1"/>
    <w:basedOn w:val="DefaultParagraphFont"/>
    <w:uiPriority w:val="99"/>
    <w:semiHidden/>
    <w:qFormat/>
    <w:rsid w:val="00e53485"/>
    <w:rPr>
      <w:rFonts w:ascii="Times New Roman" w:hAnsi="Times New Roman" w:eastAsia="Calibri" w:cs="Times New Roman"/>
      <w:kern w:val="2"/>
      <w:sz w:val="20"/>
      <w:szCs w:val="20"/>
      <w:lang w:eastAsia="ar-SA"/>
    </w:rPr>
  </w:style>
  <w:style w:type="character" w:styleId="FootnoteReference">
    <w:name w:val="footnote reference"/>
    <w:rPr>
      <w:rFonts w:ascii="Times New Roman" w:hAnsi="Times New Roman" w:cs="Times New Roman"/>
      <w:vertAlign w:val="superscript"/>
    </w:rPr>
  </w:style>
  <w:style w:type="character" w:styleId="FootnoteCharacters">
    <w:name w:val="Footnote Characters"/>
    <w:qFormat/>
    <w:rPr>
      <w:rFonts w:ascii="Times New Roman" w:hAnsi="Times New Roman" w:cs="Times New Roman"/>
      <w:vertAlign w:val="superscript"/>
    </w:rPr>
  </w:style>
  <w:style w:type="character" w:styleId="FootnoteCharacters1">
    <w:name w:val="Footnote Characters1"/>
    <w:unhideWhenUsed/>
    <w:qFormat/>
    <w:rsid w:val="00e53485"/>
    <w:rPr>
      <w:rFonts w:ascii="Times New Roman" w:hAnsi="Times New Roman" w:cs="Times New Roman"/>
      <w:vertAlign w:val="superscript"/>
    </w:rPr>
  </w:style>
  <w:style w:type="character" w:styleId="Wzmianka1" w:customStyle="1">
    <w:name w:val="Wzmianka1"/>
    <w:basedOn w:val="DefaultParagraphFont"/>
    <w:uiPriority w:val="99"/>
    <w:semiHidden/>
    <w:unhideWhenUsed/>
    <w:qFormat/>
    <w:rsid w:val="0072733f"/>
    <w:rPr>
      <w:color w:val="2B579A"/>
      <w:shd w:fill="E6E6E6" w:val="clear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7a0fe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qFormat/>
    <w:rsid w:val="00214133"/>
    <w:pPr>
      <w:spacing w:before="0" w:after="0"/>
      <w:ind w:hanging="0" w:left="72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nhideWhenUsed/>
    <w:rsid w:val="00da276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da276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94e98"/>
    <w:pPr/>
    <w:rPr>
      <w:rFonts w:ascii="Segoe UI" w:hAnsi="Segoe UI" w:cs="Segoe UI"/>
      <w:sz w:val="18"/>
      <w:szCs w:val="18"/>
    </w:rPr>
  </w:style>
  <w:style w:type="paragraph" w:styleId="Tekstpodstawowy21" w:customStyle="1">
    <w:name w:val="Tekst podstawowy 21"/>
    <w:basedOn w:val="Normal"/>
    <w:qFormat/>
    <w:rsid w:val="00b177d8"/>
    <w:pPr>
      <w:jc w:val="both"/>
    </w:pPr>
    <w:rPr>
      <w:rFonts w:ascii="Arial" w:hAnsi="Arial" w:eastAsia="Lucida Sans Unicode" w:cs="Calibri"/>
      <w:b/>
      <w:sz w:val="26"/>
    </w:rPr>
  </w:style>
  <w:style w:type="paragraph" w:styleId="FootnoteText">
    <w:name w:val="footnote text"/>
    <w:basedOn w:val="Normal"/>
    <w:link w:val="TekstprzypisudolnegoZnak"/>
    <w:uiPriority w:val="99"/>
    <w:unhideWhenUsed/>
    <w:qFormat/>
    <w:rsid w:val="00e53485"/>
    <w:pPr>
      <w:widowControl/>
      <w:suppressAutoHyphens w:val="false"/>
    </w:pPr>
    <w:rPr>
      <w:kern w:val="0"/>
      <w:sz w:val="20"/>
      <w:szCs w:val="20"/>
      <w:lang w:eastAsia="en-US"/>
    </w:rPr>
  </w:style>
  <w:style w:type="paragraph" w:styleId="Tekst" w:customStyle="1">
    <w:name w:val="Tekst"/>
    <w:basedOn w:val="Normal"/>
    <w:uiPriority w:val="99"/>
    <w:qFormat/>
    <w:rsid w:val="0072733f"/>
    <w:pPr>
      <w:widowControl/>
      <w:spacing w:before="0" w:after="240"/>
      <w:ind w:firstLine="1440"/>
    </w:pPr>
    <w:rPr>
      <w:rFonts w:eastAsia="Times New Roman"/>
      <w:kern w:val="0"/>
      <w:szCs w:val="20"/>
      <w:lang w:val="en-US"/>
    </w:rPr>
  </w:style>
  <w:style w:type="paragraph" w:styleId="Zawartotabeli">
    <w:name w:val="Zawartość tabeli"/>
    <w:basedOn w:val="Normal"/>
    <w:qFormat/>
    <w:pPr/>
    <w:rPr/>
  </w:style>
  <w:style w:type="paragraph" w:styleId="Nagwektabeli" w:customStyle="1">
    <w:name w:val="Nagłówek tabeli"/>
    <w:basedOn w:val="Normal"/>
    <w:qFormat/>
    <w:rsid w:val="0072733f"/>
    <w:pPr>
      <w:widowControl/>
      <w:suppressLineNumbers/>
      <w:jc w:val="center"/>
    </w:pPr>
    <w:rPr>
      <w:rFonts w:eastAsia="Times New Roman"/>
      <w:b/>
      <w:bCs/>
      <w:kern w:val="0"/>
      <w:sz w:val="20"/>
      <w:szCs w:val="20"/>
    </w:rPr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da&#324;sk@akademie.com.pl" TargetMode="External"/><Relationship Id="rId3" Type="http://schemas.openxmlformats.org/officeDocument/2006/relationships/hyperlink" Target="mailto:gda&#324;sk@akademie.com.pl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C45FE-0247-4B94-889B-D98D7F45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Application>LibreOffice/24.8.0.3$Windows_X86_64 LibreOffice_project/0bdf1299c94fe897b119f97f3c613e9dca6be583</Application>
  <AppVersion>15.0000</AppVersion>
  <Pages>8</Pages>
  <Words>2960</Words>
  <Characters>19313</Characters>
  <CharactersWithSpaces>22030</CharactersWithSpaces>
  <Paragraphs>165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2017-04-27T10:27:00Z</dcterms:created>
  <dc:creator>maria.najdul</dc:creator>
  <dc:description/>
  <dc:language>pl-PL</dc:language>
  <cp:lastModifiedBy/>
  <cp:lastPrinted>2017-04-27T10:38:00Z</cp:lastPrinted>
  <dcterms:modified xsi:type="dcterms:W3CDTF">2024-09-24T10:38:29Z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